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9A" w:rsidRPr="00F0198A" w:rsidRDefault="00950A9A" w:rsidP="00F0198A">
      <w:pPr>
        <w:tabs>
          <w:tab w:val="left" w:pos="-720"/>
        </w:tabs>
        <w:jc w:val="both"/>
        <w:rPr>
          <w:rFonts w:ascii="Book Antiqua" w:hAnsi="Book Antiqua"/>
        </w:rPr>
      </w:pPr>
    </w:p>
    <w:p w:rsidR="00950A9A" w:rsidRDefault="00950A9A">
      <w:pPr>
        <w:tabs>
          <w:tab w:val="left" w:pos="-720"/>
        </w:tabs>
        <w:jc w:val="center"/>
        <w:rPr>
          <w:b/>
          <w:bCs/>
          <w:sz w:val="28"/>
          <w:szCs w:val="28"/>
        </w:rPr>
      </w:pPr>
    </w:p>
    <w:p w:rsidR="00294FA1" w:rsidRPr="000655A7" w:rsidRDefault="003E33DE">
      <w:pPr>
        <w:tabs>
          <w:tab w:val="left" w:pos="-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CIRCULAR No</w:t>
      </w:r>
      <w:r w:rsidR="00515DF7">
        <w:rPr>
          <w:b/>
          <w:bCs/>
          <w:sz w:val="28"/>
          <w:szCs w:val="28"/>
        </w:rPr>
        <w:t xml:space="preserve"> </w:t>
      </w:r>
      <w:r w:rsidR="00E87E1D">
        <w:rPr>
          <w:b/>
          <w:bCs/>
          <w:sz w:val="28"/>
          <w:szCs w:val="28"/>
        </w:rPr>
        <w:t>003</w:t>
      </w:r>
      <w:r w:rsidR="00A918FE" w:rsidRPr="000655A7">
        <w:rPr>
          <w:b/>
          <w:bCs/>
          <w:sz w:val="28"/>
          <w:szCs w:val="28"/>
        </w:rPr>
        <w:t>-201</w:t>
      </w:r>
      <w:r w:rsidR="00E87E1D">
        <w:rPr>
          <w:b/>
          <w:bCs/>
          <w:sz w:val="28"/>
          <w:szCs w:val="28"/>
        </w:rPr>
        <w:t>9</w:t>
      </w:r>
      <w:bookmarkStart w:id="0" w:name="_GoBack"/>
      <w:bookmarkEnd w:id="0"/>
    </w:p>
    <w:p w:rsidR="00843252" w:rsidRDefault="00843252">
      <w:pPr>
        <w:tabs>
          <w:tab w:val="left" w:pos="-720"/>
        </w:tabs>
        <w:jc w:val="center"/>
        <w:rPr>
          <w:sz w:val="24"/>
          <w:szCs w:val="24"/>
        </w:rPr>
      </w:pPr>
    </w:p>
    <w:p w:rsidR="001F6866" w:rsidRPr="000655A7" w:rsidRDefault="001F6866">
      <w:pPr>
        <w:tabs>
          <w:tab w:val="left" w:pos="-720"/>
        </w:tabs>
        <w:jc w:val="center"/>
        <w:rPr>
          <w:sz w:val="24"/>
          <w:szCs w:val="24"/>
        </w:rPr>
      </w:pPr>
    </w:p>
    <w:p w:rsidR="00294FA1" w:rsidRPr="000655A7" w:rsidRDefault="0013503E">
      <w:pPr>
        <w:tabs>
          <w:tab w:val="left" w:pos="-720"/>
        </w:tabs>
        <w:jc w:val="both"/>
        <w:rPr>
          <w:sz w:val="24"/>
          <w:szCs w:val="24"/>
        </w:rPr>
      </w:pPr>
      <w:r w:rsidRPr="000655A7">
        <w:rPr>
          <w:sz w:val="24"/>
          <w:szCs w:val="24"/>
        </w:rPr>
        <w:tab/>
        <w:t xml:space="preserve">Fecha:  </w:t>
      </w:r>
      <w:r w:rsidR="005202F4" w:rsidRPr="000655A7">
        <w:rPr>
          <w:sz w:val="24"/>
          <w:szCs w:val="24"/>
        </w:rPr>
        <w:t xml:space="preserve"> </w:t>
      </w:r>
      <w:r w:rsidR="000E7048" w:rsidRPr="000655A7">
        <w:rPr>
          <w:sz w:val="24"/>
          <w:szCs w:val="24"/>
        </w:rPr>
        <w:tab/>
      </w:r>
      <w:r w:rsidR="00515DF7">
        <w:rPr>
          <w:sz w:val="24"/>
          <w:szCs w:val="24"/>
        </w:rPr>
        <w:t>10</w:t>
      </w:r>
      <w:r w:rsidR="00CE4F02">
        <w:rPr>
          <w:sz w:val="24"/>
          <w:szCs w:val="24"/>
        </w:rPr>
        <w:t xml:space="preserve"> de enero del 2019</w:t>
      </w:r>
      <w:r w:rsidR="00BC7887">
        <w:rPr>
          <w:sz w:val="24"/>
          <w:szCs w:val="24"/>
        </w:rPr>
        <w:t>.</w:t>
      </w:r>
    </w:p>
    <w:p w:rsidR="00843252" w:rsidRPr="000655A7" w:rsidRDefault="00843252" w:rsidP="004B41D8">
      <w:pPr>
        <w:tabs>
          <w:tab w:val="left" w:pos="-720"/>
        </w:tabs>
        <w:ind w:left="-567" w:firstLine="567"/>
        <w:jc w:val="both"/>
        <w:rPr>
          <w:sz w:val="24"/>
          <w:szCs w:val="24"/>
        </w:rPr>
      </w:pPr>
    </w:p>
    <w:p w:rsidR="00294FA1" w:rsidRPr="000655A7" w:rsidRDefault="00EA14B6">
      <w:pPr>
        <w:tabs>
          <w:tab w:val="left" w:pos="-720"/>
        </w:tabs>
        <w:jc w:val="both"/>
        <w:rPr>
          <w:sz w:val="24"/>
          <w:szCs w:val="24"/>
        </w:rPr>
      </w:pPr>
      <w:r w:rsidRPr="000655A7">
        <w:rPr>
          <w:sz w:val="24"/>
          <w:szCs w:val="24"/>
        </w:rPr>
        <w:tab/>
      </w:r>
      <w:r w:rsidR="0013503E" w:rsidRPr="000655A7">
        <w:rPr>
          <w:sz w:val="24"/>
          <w:szCs w:val="24"/>
        </w:rPr>
        <w:t xml:space="preserve">De:    </w:t>
      </w:r>
      <w:r w:rsidR="00036312" w:rsidRPr="000655A7">
        <w:rPr>
          <w:sz w:val="24"/>
          <w:szCs w:val="24"/>
        </w:rPr>
        <w:tab/>
      </w:r>
      <w:r w:rsidR="000E7048" w:rsidRPr="000655A7">
        <w:rPr>
          <w:sz w:val="24"/>
          <w:szCs w:val="24"/>
        </w:rPr>
        <w:tab/>
      </w:r>
      <w:r w:rsidR="00274D54" w:rsidRPr="000655A7">
        <w:rPr>
          <w:sz w:val="24"/>
          <w:szCs w:val="24"/>
        </w:rPr>
        <w:t>MBA</w:t>
      </w:r>
      <w:r w:rsidR="00D87879" w:rsidRPr="000655A7">
        <w:rPr>
          <w:sz w:val="24"/>
          <w:szCs w:val="24"/>
        </w:rPr>
        <w:t xml:space="preserve">. </w:t>
      </w:r>
      <w:r w:rsidR="003E33DE">
        <w:rPr>
          <w:sz w:val="24"/>
          <w:szCs w:val="24"/>
        </w:rPr>
        <w:t>Floribel Campos Solano</w:t>
      </w:r>
      <w:r w:rsidR="00345E40" w:rsidRPr="000655A7">
        <w:rPr>
          <w:sz w:val="24"/>
          <w:szCs w:val="24"/>
        </w:rPr>
        <w:t xml:space="preserve">, </w:t>
      </w:r>
      <w:proofErr w:type="gramStart"/>
      <w:r w:rsidR="00345E40" w:rsidRPr="000655A7">
        <w:rPr>
          <w:sz w:val="24"/>
          <w:szCs w:val="24"/>
        </w:rPr>
        <w:t>Jef</w:t>
      </w:r>
      <w:r w:rsidR="003E33DE">
        <w:rPr>
          <w:sz w:val="24"/>
          <w:szCs w:val="24"/>
        </w:rPr>
        <w:t>a</w:t>
      </w:r>
      <w:proofErr w:type="gramEnd"/>
      <w:r w:rsidR="00274D54" w:rsidRPr="000655A7">
        <w:rPr>
          <w:sz w:val="24"/>
          <w:szCs w:val="24"/>
        </w:rPr>
        <w:t xml:space="preserve"> </w:t>
      </w:r>
      <w:proofErr w:type="spellStart"/>
      <w:r w:rsidR="00345E40" w:rsidRPr="000655A7">
        <w:rPr>
          <w:sz w:val="24"/>
          <w:szCs w:val="24"/>
        </w:rPr>
        <w:t>a</w:t>
      </w:r>
      <w:r w:rsidR="003D1003">
        <w:rPr>
          <w:sz w:val="24"/>
          <w:szCs w:val="24"/>
        </w:rPr>
        <w:t>.i</w:t>
      </w:r>
      <w:r w:rsidR="00274D54" w:rsidRPr="000655A7">
        <w:rPr>
          <w:sz w:val="24"/>
          <w:szCs w:val="24"/>
        </w:rPr>
        <w:t>.</w:t>
      </w:r>
      <w:proofErr w:type="spellEnd"/>
      <w:r w:rsidR="00D87879" w:rsidRPr="000655A7">
        <w:rPr>
          <w:sz w:val="24"/>
          <w:szCs w:val="24"/>
        </w:rPr>
        <w:t xml:space="preserve"> </w:t>
      </w:r>
    </w:p>
    <w:p w:rsidR="00294FA1" w:rsidRPr="000655A7" w:rsidRDefault="00294FA1">
      <w:pPr>
        <w:tabs>
          <w:tab w:val="left" w:pos="-720"/>
        </w:tabs>
        <w:jc w:val="both"/>
        <w:rPr>
          <w:sz w:val="24"/>
          <w:szCs w:val="24"/>
        </w:rPr>
      </w:pPr>
      <w:r w:rsidRPr="000655A7">
        <w:rPr>
          <w:sz w:val="24"/>
          <w:szCs w:val="24"/>
        </w:rPr>
        <w:t xml:space="preserve">            </w:t>
      </w:r>
      <w:r w:rsidR="004A7974">
        <w:rPr>
          <w:sz w:val="24"/>
          <w:szCs w:val="24"/>
        </w:rPr>
        <w:tab/>
      </w:r>
      <w:r w:rsidR="004A7974">
        <w:rPr>
          <w:sz w:val="24"/>
          <w:szCs w:val="24"/>
        </w:rPr>
        <w:tab/>
      </w:r>
      <w:r w:rsidR="000943A6" w:rsidRPr="000655A7">
        <w:rPr>
          <w:sz w:val="24"/>
          <w:szCs w:val="24"/>
        </w:rPr>
        <w:t>Macroproceso</w:t>
      </w:r>
      <w:r w:rsidRPr="000655A7">
        <w:rPr>
          <w:sz w:val="24"/>
          <w:szCs w:val="24"/>
        </w:rPr>
        <w:t xml:space="preserve"> Financiero Contable</w:t>
      </w:r>
    </w:p>
    <w:p w:rsidR="00110F0C" w:rsidRPr="000655A7" w:rsidRDefault="00110F0C">
      <w:pPr>
        <w:tabs>
          <w:tab w:val="left" w:pos="-720"/>
        </w:tabs>
        <w:jc w:val="both"/>
        <w:rPr>
          <w:sz w:val="24"/>
          <w:szCs w:val="24"/>
        </w:rPr>
      </w:pPr>
    </w:p>
    <w:p w:rsidR="00294FA1" w:rsidRPr="000655A7" w:rsidRDefault="00EA14B6" w:rsidP="00274D54">
      <w:pPr>
        <w:tabs>
          <w:tab w:val="left" w:pos="-720"/>
        </w:tabs>
        <w:ind w:left="2124" w:hanging="2124"/>
        <w:jc w:val="both"/>
        <w:rPr>
          <w:sz w:val="24"/>
          <w:szCs w:val="24"/>
        </w:rPr>
      </w:pPr>
      <w:r w:rsidRPr="000655A7">
        <w:rPr>
          <w:sz w:val="24"/>
          <w:szCs w:val="24"/>
        </w:rPr>
        <w:t xml:space="preserve">              </w:t>
      </w:r>
      <w:r w:rsidR="00294FA1" w:rsidRPr="000655A7">
        <w:rPr>
          <w:sz w:val="24"/>
          <w:szCs w:val="24"/>
        </w:rPr>
        <w:t>Para</w:t>
      </w:r>
      <w:r w:rsidR="00EB4EEF" w:rsidRPr="000655A7">
        <w:rPr>
          <w:sz w:val="24"/>
          <w:szCs w:val="24"/>
        </w:rPr>
        <w:t xml:space="preserve">: </w:t>
      </w:r>
      <w:r w:rsidR="00036312" w:rsidRPr="000655A7">
        <w:rPr>
          <w:sz w:val="24"/>
          <w:szCs w:val="24"/>
        </w:rPr>
        <w:tab/>
      </w:r>
      <w:r w:rsidR="00274D54" w:rsidRPr="000655A7">
        <w:rPr>
          <w:sz w:val="24"/>
          <w:szCs w:val="24"/>
        </w:rPr>
        <w:t>Departamento de Proveeduría</w:t>
      </w:r>
      <w:r w:rsidR="00046FF2" w:rsidRPr="000655A7">
        <w:rPr>
          <w:sz w:val="24"/>
          <w:szCs w:val="24"/>
        </w:rPr>
        <w:t>, A</w:t>
      </w:r>
      <w:r w:rsidR="00EB4EEF" w:rsidRPr="000655A7">
        <w:rPr>
          <w:sz w:val="24"/>
          <w:szCs w:val="24"/>
        </w:rPr>
        <w:t>dministradores</w:t>
      </w:r>
      <w:r w:rsidR="00312F23" w:rsidRPr="000655A7">
        <w:rPr>
          <w:sz w:val="24"/>
          <w:szCs w:val="24"/>
        </w:rPr>
        <w:t xml:space="preserve"> (as)</w:t>
      </w:r>
      <w:r w:rsidR="00046FF2" w:rsidRPr="000655A7">
        <w:rPr>
          <w:sz w:val="24"/>
          <w:szCs w:val="24"/>
        </w:rPr>
        <w:t xml:space="preserve"> Regionales</w:t>
      </w:r>
      <w:r w:rsidR="00EF3E92">
        <w:rPr>
          <w:sz w:val="24"/>
          <w:szCs w:val="24"/>
        </w:rPr>
        <w:t>, de Programas</w:t>
      </w:r>
      <w:r w:rsidR="00046FF2" w:rsidRPr="000655A7">
        <w:rPr>
          <w:sz w:val="24"/>
          <w:szCs w:val="24"/>
        </w:rPr>
        <w:t xml:space="preserve"> </w:t>
      </w:r>
      <w:r w:rsidR="00F8748B">
        <w:rPr>
          <w:sz w:val="24"/>
          <w:szCs w:val="24"/>
        </w:rPr>
        <w:t xml:space="preserve">Rubros </w:t>
      </w:r>
      <w:r w:rsidR="00046FF2" w:rsidRPr="000655A7">
        <w:rPr>
          <w:sz w:val="24"/>
          <w:szCs w:val="24"/>
        </w:rPr>
        <w:t>y</w:t>
      </w:r>
      <w:r w:rsidR="00294FA1" w:rsidRPr="000655A7">
        <w:rPr>
          <w:sz w:val="24"/>
          <w:szCs w:val="24"/>
        </w:rPr>
        <w:t xml:space="preserve"> Centros </w:t>
      </w:r>
      <w:r w:rsidR="00EF3E92">
        <w:rPr>
          <w:sz w:val="24"/>
          <w:szCs w:val="24"/>
        </w:rPr>
        <w:t>Gestores</w:t>
      </w:r>
      <w:r w:rsidR="00274D54" w:rsidRPr="000655A7">
        <w:rPr>
          <w:sz w:val="24"/>
          <w:szCs w:val="24"/>
        </w:rPr>
        <w:t>.</w:t>
      </w:r>
    </w:p>
    <w:p w:rsidR="00294FA1" w:rsidRPr="000655A7" w:rsidRDefault="00294FA1">
      <w:pPr>
        <w:tabs>
          <w:tab w:val="left" w:pos="-720"/>
        </w:tabs>
        <w:jc w:val="both"/>
        <w:rPr>
          <w:sz w:val="24"/>
          <w:szCs w:val="24"/>
        </w:rPr>
      </w:pPr>
    </w:p>
    <w:p w:rsidR="00294FA1" w:rsidRPr="000655A7" w:rsidRDefault="00294FA1" w:rsidP="00274D54">
      <w:pPr>
        <w:pStyle w:val="Textoindependiente31"/>
        <w:tabs>
          <w:tab w:val="left" w:pos="567"/>
        </w:tabs>
        <w:ind w:left="2124" w:hanging="2124"/>
        <w:rPr>
          <w:rFonts w:ascii="Times New Roman" w:hAnsi="Times New Roman"/>
          <w:bCs/>
          <w:szCs w:val="24"/>
        </w:rPr>
      </w:pPr>
      <w:r w:rsidRPr="000655A7">
        <w:rPr>
          <w:rFonts w:ascii="Times New Roman" w:hAnsi="Times New Roman"/>
          <w:bCs/>
          <w:szCs w:val="24"/>
        </w:rPr>
        <w:tab/>
      </w:r>
      <w:r w:rsidR="00EA14B6" w:rsidRPr="000655A7">
        <w:rPr>
          <w:rFonts w:ascii="Times New Roman" w:hAnsi="Times New Roman"/>
          <w:bCs/>
          <w:szCs w:val="24"/>
        </w:rPr>
        <w:t xml:space="preserve">  </w:t>
      </w:r>
      <w:r w:rsidRPr="000655A7">
        <w:rPr>
          <w:rFonts w:ascii="Times New Roman" w:hAnsi="Times New Roman"/>
          <w:bCs/>
          <w:szCs w:val="24"/>
        </w:rPr>
        <w:t>Asunto</w:t>
      </w:r>
      <w:r w:rsidR="00EB4EEF" w:rsidRPr="000655A7">
        <w:rPr>
          <w:rFonts w:ascii="Times New Roman" w:hAnsi="Times New Roman"/>
          <w:bCs/>
          <w:szCs w:val="24"/>
        </w:rPr>
        <w:t xml:space="preserve">: </w:t>
      </w:r>
      <w:r w:rsidR="000E7048" w:rsidRPr="000655A7">
        <w:rPr>
          <w:rFonts w:ascii="Times New Roman" w:hAnsi="Times New Roman"/>
          <w:bCs/>
          <w:szCs w:val="24"/>
        </w:rPr>
        <w:tab/>
      </w:r>
      <w:r w:rsidR="00274D54" w:rsidRPr="000655A7">
        <w:rPr>
          <w:rFonts w:ascii="Times New Roman" w:hAnsi="Times New Roman"/>
          <w:bCs/>
          <w:szCs w:val="24"/>
        </w:rPr>
        <w:t xml:space="preserve">Procedimiento </w:t>
      </w:r>
      <w:r w:rsidR="000655A7">
        <w:rPr>
          <w:rFonts w:ascii="Times New Roman" w:hAnsi="Times New Roman"/>
          <w:bCs/>
          <w:szCs w:val="24"/>
        </w:rPr>
        <w:t xml:space="preserve">para el trámite </w:t>
      </w:r>
      <w:r w:rsidR="00274D54" w:rsidRPr="000655A7">
        <w:rPr>
          <w:rFonts w:ascii="Times New Roman" w:hAnsi="Times New Roman"/>
          <w:bCs/>
          <w:szCs w:val="24"/>
        </w:rPr>
        <w:t xml:space="preserve">de </w:t>
      </w:r>
      <w:r w:rsidR="00EA14B6" w:rsidRPr="000655A7">
        <w:rPr>
          <w:rFonts w:ascii="Times New Roman" w:hAnsi="Times New Roman"/>
          <w:bCs/>
          <w:szCs w:val="24"/>
        </w:rPr>
        <w:t>caducos.</w:t>
      </w:r>
    </w:p>
    <w:p w:rsidR="00294FA1" w:rsidRPr="000655A7" w:rsidRDefault="00294FA1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  <w:r w:rsidRPr="000655A7">
        <w:rPr>
          <w:rFonts w:ascii="Times New Roman" w:hAnsi="Times New Roman"/>
          <w:szCs w:val="24"/>
        </w:rPr>
        <w:t xml:space="preserve">      </w:t>
      </w:r>
      <w:r w:rsidRPr="000655A7">
        <w:rPr>
          <w:rFonts w:ascii="Times New Roman" w:hAnsi="Times New Roman"/>
          <w:b w:val="0"/>
          <w:szCs w:val="24"/>
        </w:rPr>
        <w:t xml:space="preserve"> _________________________________________________________________________</w:t>
      </w:r>
    </w:p>
    <w:p w:rsidR="001F6866" w:rsidRDefault="00294FA1" w:rsidP="00EA14B6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  <w:r w:rsidRPr="000655A7">
        <w:rPr>
          <w:rFonts w:ascii="Times New Roman" w:hAnsi="Times New Roman"/>
          <w:b w:val="0"/>
          <w:szCs w:val="24"/>
        </w:rPr>
        <w:tab/>
      </w:r>
      <w:r w:rsidR="00843252" w:rsidRPr="000655A7">
        <w:rPr>
          <w:rFonts w:ascii="Times New Roman" w:hAnsi="Times New Roman"/>
          <w:b w:val="0"/>
          <w:szCs w:val="24"/>
        </w:rPr>
        <w:tab/>
      </w:r>
    </w:p>
    <w:p w:rsidR="00EA14B6" w:rsidRPr="000655A7" w:rsidRDefault="001F6866" w:rsidP="00EA14B6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 w:rsidR="00EA14B6" w:rsidRPr="000655A7">
        <w:rPr>
          <w:rFonts w:ascii="Times New Roman" w:hAnsi="Times New Roman"/>
          <w:b w:val="0"/>
          <w:szCs w:val="24"/>
        </w:rPr>
        <w:t>Estimados (as) compañeros (as) encargados (a</w:t>
      </w:r>
      <w:r w:rsidR="007D6648">
        <w:rPr>
          <w:rFonts w:ascii="Times New Roman" w:hAnsi="Times New Roman"/>
          <w:b w:val="0"/>
          <w:szCs w:val="24"/>
        </w:rPr>
        <w:t>s) de Centros Gestores</w:t>
      </w:r>
      <w:r w:rsidR="00EA14B6" w:rsidRPr="000655A7">
        <w:rPr>
          <w:rFonts w:ascii="Times New Roman" w:hAnsi="Times New Roman"/>
          <w:b w:val="0"/>
          <w:szCs w:val="24"/>
        </w:rPr>
        <w:t xml:space="preserve"> y Programas:</w:t>
      </w:r>
    </w:p>
    <w:p w:rsidR="00EA14B6" w:rsidRPr="000655A7" w:rsidRDefault="00EA14B6" w:rsidP="00EA14B6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</w:p>
    <w:p w:rsidR="00EA14B6" w:rsidRPr="000655A7" w:rsidRDefault="00EA14B6" w:rsidP="00EA14B6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  <w:r w:rsidRPr="000655A7">
        <w:rPr>
          <w:rFonts w:ascii="Times New Roman" w:hAnsi="Times New Roman"/>
          <w:b w:val="0"/>
          <w:szCs w:val="24"/>
        </w:rPr>
        <w:tab/>
        <w:t xml:space="preserve">Se les </w:t>
      </w:r>
      <w:r w:rsidR="001F6866">
        <w:rPr>
          <w:rFonts w:ascii="Times New Roman" w:hAnsi="Times New Roman"/>
          <w:b w:val="0"/>
          <w:szCs w:val="24"/>
        </w:rPr>
        <w:t xml:space="preserve">hace del conocimiento y </w:t>
      </w:r>
      <w:r w:rsidR="00515DF7">
        <w:rPr>
          <w:rFonts w:ascii="Times New Roman" w:hAnsi="Times New Roman"/>
          <w:b w:val="0"/>
          <w:szCs w:val="24"/>
        </w:rPr>
        <w:t xml:space="preserve">se </w:t>
      </w:r>
      <w:r w:rsidR="001F6866">
        <w:rPr>
          <w:rFonts w:ascii="Times New Roman" w:hAnsi="Times New Roman"/>
          <w:b w:val="0"/>
          <w:szCs w:val="24"/>
        </w:rPr>
        <w:t>reitera</w:t>
      </w:r>
      <w:r w:rsidRPr="000655A7">
        <w:rPr>
          <w:rFonts w:ascii="Times New Roman" w:hAnsi="Times New Roman"/>
          <w:b w:val="0"/>
          <w:szCs w:val="24"/>
        </w:rPr>
        <w:t xml:space="preserve"> el procedimiento </w:t>
      </w:r>
      <w:r w:rsidR="000655A7">
        <w:rPr>
          <w:rFonts w:ascii="Times New Roman" w:hAnsi="Times New Roman"/>
          <w:b w:val="0"/>
          <w:szCs w:val="24"/>
        </w:rPr>
        <w:t>para el trámite</w:t>
      </w:r>
      <w:r w:rsidRPr="000655A7">
        <w:rPr>
          <w:rFonts w:ascii="Times New Roman" w:hAnsi="Times New Roman"/>
          <w:b w:val="0"/>
          <w:szCs w:val="24"/>
        </w:rPr>
        <w:t xml:space="preserve"> de caducos:</w:t>
      </w:r>
    </w:p>
    <w:p w:rsidR="00056157" w:rsidRPr="000655A7" w:rsidRDefault="00056157" w:rsidP="00EA14B6">
      <w:pPr>
        <w:pStyle w:val="Textoindependiente31"/>
        <w:tabs>
          <w:tab w:val="left" w:pos="-720"/>
        </w:tabs>
        <w:rPr>
          <w:rFonts w:ascii="Times New Roman" w:hAnsi="Times New Roman"/>
          <w:b w:val="0"/>
          <w:szCs w:val="24"/>
        </w:rPr>
      </w:pPr>
    </w:p>
    <w:p w:rsidR="00056157" w:rsidRDefault="00056157" w:rsidP="00016459">
      <w:pPr>
        <w:numPr>
          <w:ilvl w:val="1"/>
          <w:numId w:val="21"/>
        </w:numPr>
        <w:tabs>
          <w:tab w:val="clear" w:pos="792"/>
          <w:tab w:val="num" w:pos="1418"/>
        </w:tabs>
        <w:suppressAutoHyphens w:val="0"/>
        <w:ind w:left="1418" w:hanging="709"/>
        <w:jc w:val="both"/>
        <w:rPr>
          <w:sz w:val="24"/>
          <w:szCs w:val="24"/>
          <w:lang w:val="es-CR"/>
        </w:rPr>
      </w:pPr>
      <w:r w:rsidRPr="000655A7">
        <w:rPr>
          <w:sz w:val="24"/>
          <w:szCs w:val="24"/>
        </w:rPr>
        <w:t>Los caducos de solicitudes de pedido y pedido</w:t>
      </w:r>
      <w:r w:rsidRPr="000655A7">
        <w:rPr>
          <w:sz w:val="24"/>
          <w:szCs w:val="24"/>
          <w:lang w:val="es-CR"/>
        </w:rPr>
        <w:t xml:space="preserve"> </w:t>
      </w:r>
      <w:r w:rsidR="00BC7887">
        <w:rPr>
          <w:sz w:val="24"/>
          <w:szCs w:val="24"/>
          <w:lang w:val="es-CR"/>
        </w:rPr>
        <w:t xml:space="preserve">en estado </w:t>
      </w:r>
      <w:r w:rsidR="00BC7887">
        <w:rPr>
          <w:i/>
          <w:sz w:val="24"/>
          <w:szCs w:val="24"/>
          <w:lang w:val="es-CR"/>
        </w:rPr>
        <w:t>“Autorizado por Encargado”</w:t>
      </w:r>
      <w:r w:rsidR="00016459">
        <w:rPr>
          <w:i/>
          <w:sz w:val="24"/>
          <w:szCs w:val="24"/>
          <w:lang w:val="es-CR"/>
        </w:rPr>
        <w:t xml:space="preserve"> </w:t>
      </w:r>
      <w:r w:rsidR="00133F70">
        <w:rPr>
          <w:sz w:val="24"/>
          <w:szCs w:val="24"/>
          <w:lang w:val="es-CR"/>
        </w:rPr>
        <w:t xml:space="preserve">se procederán a caducar </w:t>
      </w:r>
      <w:r w:rsidR="00B610D8">
        <w:rPr>
          <w:sz w:val="24"/>
          <w:szCs w:val="24"/>
          <w:lang w:val="es-CR"/>
        </w:rPr>
        <w:t xml:space="preserve">de oficio </w:t>
      </w:r>
      <w:r w:rsidR="00BC7887">
        <w:rPr>
          <w:sz w:val="24"/>
          <w:szCs w:val="24"/>
          <w:lang w:val="es-CR"/>
        </w:rPr>
        <w:t xml:space="preserve">por parte del Subproceso de Presupuesto, por lo que no se recibirán correos </w:t>
      </w:r>
      <w:r w:rsidR="00016459">
        <w:rPr>
          <w:sz w:val="24"/>
          <w:szCs w:val="24"/>
          <w:lang w:val="es-CR"/>
        </w:rPr>
        <w:t xml:space="preserve">electrónicos </w:t>
      </w:r>
      <w:r w:rsidR="00BC7887">
        <w:rPr>
          <w:sz w:val="24"/>
          <w:szCs w:val="24"/>
          <w:lang w:val="es-CR"/>
        </w:rPr>
        <w:t>solicitando los caducos para dichos trámites</w:t>
      </w:r>
      <w:r w:rsidR="00016459">
        <w:rPr>
          <w:sz w:val="24"/>
          <w:szCs w:val="24"/>
          <w:lang w:val="es-CR"/>
        </w:rPr>
        <w:t>; es importante aclarar que será responsabilidad de los Centros Gestores</w:t>
      </w:r>
      <w:r w:rsidR="00133F70">
        <w:rPr>
          <w:sz w:val="24"/>
          <w:szCs w:val="24"/>
          <w:lang w:val="es-CR"/>
        </w:rPr>
        <w:t>, las Administraciones Regionales</w:t>
      </w:r>
      <w:r w:rsidR="00F8748B">
        <w:rPr>
          <w:sz w:val="24"/>
          <w:szCs w:val="24"/>
          <w:lang w:val="es-CR"/>
        </w:rPr>
        <w:t>, de Rubros</w:t>
      </w:r>
      <w:r w:rsidR="00133F70">
        <w:rPr>
          <w:sz w:val="24"/>
          <w:szCs w:val="24"/>
          <w:lang w:val="es-CR"/>
        </w:rPr>
        <w:t xml:space="preserve"> y de Programas</w:t>
      </w:r>
      <w:r w:rsidR="00F8748B">
        <w:rPr>
          <w:sz w:val="24"/>
          <w:szCs w:val="24"/>
          <w:lang w:val="es-CR"/>
        </w:rPr>
        <w:t>,</w:t>
      </w:r>
      <w:r w:rsidR="003C2593">
        <w:rPr>
          <w:sz w:val="24"/>
          <w:szCs w:val="24"/>
          <w:lang w:val="es-CR"/>
        </w:rPr>
        <w:t xml:space="preserve"> </w:t>
      </w:r>
      <w:r w:rsidR="007D6648">
        <w:rPr>
          <w:sz w:val="24"/>
          <w:szCs w:val="24"/>
          <w:lang w:val="es-CR"/>
        </w:rPr>
        <w:t>darle</w:t>
      </w:r>
      <w:r w:rsidR="00133F70">
        <w:rPr>
          <w:sz w:val="24"/>
          <w:szCs w:val="24"/>
          <w:lang w:val="es-CR"/>
        </w:rPr>
        <w:t xml:space="preserve"> seguimiento oportuno</w:t>
      </w:r>
      <w:r w:rsidR="00B610D8">
        <w:rPr>
          <w:sz w:val="24"/>
          <w:szCs w:val="24"/>
          <w:lang w:val="es-CR"/>
        </w:rPr>
        <w:t xml:space="preserve"> </w:t>
      </w:r>
      <w:r w:rsidR="00D33B93">
        <w:rPr>
          <w:sz w:val="24"/>
          <w:szCs w:val="24"/>
          <w:lang w:val="es-CR"/>
        </w:rPr>
        <w:t>para ser aprobados</w:t>
      </w:r>
      <w:r w:rsidR="00133F70">
        <w:rPr>
          <w:sz w:val="24"/>
          <w:szCs w:val="24"/>
          <w:lang w:val="es-CR"/>
        </w:rPr>
        <w:t xml:space="preserve"> por parte</w:t>
      </w:r>
      <w:r w:rsidR="00B610D8">
        <w:rPr>
          <w:sz w:val="24"/>
          <w:szCs w:val="24"/>
          <w:lang w:val="es-CR"/>
        </w:rPr>
        <w:t xml:space="preserve"> </w:t>
      </w:r>
      <w:r w:rsidR="00515DF7">
        <w:rPr>
          <w:sz w:val="24"/>
          <w:szCs w:val="24"/>
          <w:lang w:val="es-CR"/>
        </w:rPr>
        <w:t xml:space="preserve">de </w:t>
      </w:r>
      <w:r w:rsidR="00B610D8">
        <w:rPr>
          <w:sz w:val="24"/>
          <w:szCs w:val="24"/>
          <w:lang w:val="es-CR"/>
        </w:rPr>
        <w:t>este Departamento</w:t>
      </w:r>
      <w:r w:rsidR="00016459">
        <w:rPr>
          <w:sz w:val="24"/>
          <w:szCs w:val="24"/>
          <w:lang w:val="es-CR"/>
        </w:rPr>
        <w:t>.</w:t>
      </w:r>
    </w:p>
    <w:p w:rsidR="003C2593" w:rsidRPr="000655A7" w:rsidRDefault="003C2593" w:rsidP="00016459">
      <w:pPr>
        <w:tabs>
          <w:tab w:val="num" w:pos="1418"/>
        </w:tabs>
        <w:suppressAutoHyphens w:val="0"/>
        <w:ind w:left="1418" w:hanging="709"/>
        <w:jc w:val="both"/>
        <w:rPr>
          <w:sz w:val="24"/>
          <w:szCs w:val="24"/>
          <w:lang w:val="es-CR"/>
        </w:rPr>
      </w:pPr>
    </w:p>
    <w:p w:rsidR="00056157" w:rsidRPr="000655A7" w:rsidRDefault="00056157" w:rsidP="00016459">
      <w:pPr>
        <w:pStyle w:val="Textoindependiente31"/>
        <w:numPr>
          <w:ilvl w:val="1"/>
          <w:numId w:val="21"/>
        </w:numPr>
        <w:tabs>
          <w:tab w:val="clear" w:pos="792"/>
          <w:tab w:val="left" w:pos="709"/>
          <w:tab w:val="num" w:pos="1418"/>
        </w:tabs>
        <w:ind w:left="1418" w:hanging="709"/>
        <w:rPr>
          <w:rFonts w:ascii="Times New Roman" w:hAnsi="Times New Roman"/>
          <w:b w:val="0"/>
          <w:szCs w:val="24"/>
          <w:lang w:val="es-ES" w:eastAsia="es-ES"/>
        </w:rPr>
      </w:pPr>
      <w:r w:rsidRPr="000655A7">
        <w:rPr>
          <w:rFonts w:ascii="Times New Roman" w:hAnsi="Times New Roman"/>
          <w:b w:val="0"/>
          <w:szCs w:val="24"/>
          <w:lang w:val="es-ES" w:eastAsia="es-ES"/>
        </w:rPr>
        <w:t xml:space="preserve">Para </w:t>
      </w:r>
      <w:r w:rsidR="00EF3E92">
        <w:rPr>
          <w:rFonts w:ascii="Times New Roman" w:hAnsi="Times New Roman"/>
          <w:b w:val="0"/>
          <w:szCs w:val="24"/>
          <w:lang w:val="es-ES" w:eastAsia="es-ES"/>
        </w:rPr>
        <w:t>caducos de reservas se mantiene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 xml:space="preserve"> el mismo procedimiento, es decir, </w:t>
      </w:r>
      <w:r w:rsidR="00EF3E92">
        <w:rPr>
          <w:rFonts w:ascii="Times New Roman" w:hAnsi="Times New Roman"/>
          <w:b w:val="0"/>
          <w:szCs w:val="24"/>
          <w:lang w:val="es-ES" w:eastAsia="es-ES"/>
        </w:rPr>
        <w:t>se debe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 xml:space="preserve"> </w:t>
      </w:r>
      <w:r w:rsidR="00BC7887">
        <w:rPr>
          <w:rFonts w:ascii="Times New Roman" w:hAnsi="Times New Roman"/>
          <w:b w:val="0"/>
          <w:szCs w:val="24"/>
          <w:lang w:val="es-ES" w:eastAsia="es-ES"/>
        </w:rPr>
        <w:t xml:space="preserve">enviar un correo electrónico a la cuenta oficial “Caducos Subproceso Presupuesto” </w:t>
      </w:r>
      <w:r w:rsidR="00515DF7">
        <w:rPr>
          <w:rFonts w:ascii="Times New Roman" w:hAnsi="Times New Roman"/>
          <w:b w:val="0"/>
          <w:szCs w:val="24"/>
          <w:lang w:val="es-ES" w:eastAsia="es-ES"/>
        </w:rPr>
        <w:t>anexar la tabla de excel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 xml:space="preserve"> </w:t>
      </w:r>
      <w:r w:rsidR="007D6648">
        <w:rPr>
          <w:rFonts w:ascii="Times New Roman" w:hAnsi="Times New Roman"/>
          <w:b w:val="0"/>
          <w:szCs w:val="24"/>
          <w:lang w:val="es-ES" w:eastAsia="es-ES"/>
        </w:rPr>
        <w:t xml:space="preserve">con el formato </w:t>
      </w:r>
      <w:r w:rsidR="00D17CD2">
        <w:rPr>
          <w:rFonts w:ascii="Times New Roman" w:hAnsi="Times New Roman"/>
          <w:b w:val="0"/>
          <w:szCs w:val="24"/>
          <w:lang w:val="es-ES" w:eastAsia="es-ES"/>
        </w:rPr>
        <w:t>que se adjunta</w:t>
      </w:r>
      <w:r w:rsidR="007D6648">
        <w:rPr>
          <w:rFonts w:ascii="Times New Roman" w:hAnsi="Times New Roman"/>
          <w:b w:val="0"/>
          <w:szCs w:val="24"/>
          <w:lang w:val="es-ES" w:eastAsia="es-ES"/>
        </w:rPr>
        <w:t xml:space="preserve"> en donde se señale 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>el número de reserva</w:t>
      </w:r>
      <w:r w:rsidR="00BC7887">
        <w:rPr>
          <w:rFonts w:ascii="Times New Roman" w:hAnsi="Times New Roman"/>
          <w:b w:val="0"/>
          <w:szCs w:val="24"/>
          <w:lang w:val="es-ES" w:eastAsia="es-ES"/>
        </w:rPr>
        <w:t>, l</w:t>
      </w:r>
      <w:r w:rsidR="001F6866">
        <w:rPr>
          <w:rFonts w:ascii="Times New Roman" w:hAnsi="Times New Roman"/>
          <w:b w:val="0"/>
          <w:szCs w:val="24"/>
          <w:lang w:val="es-ES" w:eastAsia="es-ES"/>
        </w:rPr>
        <w:t>os datos del registro contable,</w:t>
      </w:r>
      <w:r w:rsidR="00BC7887">
        <w:rPr>
          <w:rFonts w:ascii="Times New Roman" w:hAnsi="Times New Roman"/>
          <w:b w:val="0"/>
          <w:szCs w:val="24"/>
          <w:lang w:val="es-ES" w:eastAsia="es-ES"/>
        </w:rPr>
        <w:t xml:space="preserve"> el monto a caducar</w:t>
      </w:r>
      <w:r w:rsidR="00D33B93">
        <w:rPr>
          <w:rFonts w:ascii="Times New Roman" w:hAnsi="Times New Roman"/>
          <w:b w:val="0"/>
          <w:szCs w:val="24"/>
          <w:lang w:val="es-ES" w:eastAsia="es-ES"/>
        </w:rPr>
        <w:t>, así como la justificación del caduco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>. S</w:t>
      </w:r>
      <w:r w:rsidR="0091330F">
        <w:rPr>
          <w:rFonts w:ascii="Times New Roman" w:hAnsi="Times New Roman"/>
          <w:b w:val="0"/>
          <w:szCs w:val="24"/>
          <w:lang w:val="es-ES" w:eastAsia="es-ES"/>
        </w:rPr>
        <w:t>e aclara que</w:t>
      </w:r>
      <w:r w:rsidR="00BE5775">
        <w:rPr>
          <w:rFonts w:ascii="Times New Roman" w:hAnsi="Times New Roman"/>
          <w:b w:val="0"/>
          <w:szCs w:val="24"/>
          <w:lang w:val="es-ES" w:eastAsia="es-ES"/>
        </w:rPr>
        <w:t>, debe señala</w:t>
      </w:r>
      <w:r w:rsidRPr="000655A7">
        <w:rPr>
          <w:rFonts w:ascii="Times New Roman" w:hAnsi="Times New Roman"/>
          <w:b w:val="0"/>
          <w:szCs w:val="24"/>
          <w:lang w:val="es-ES" w:eastAsia="es-ES"/>
        </w:rPr>
        <w:t>r el número de reserva y no de la Soli</w:t>
      </w:r>
      <w:r w:rsidR="00EF3E92">
        <w:rPr>
          <w:rFonts w:ascii="Times New Roman" w:hAnsi="Times New Roman"/>
          <w:b w:val="0"/>
          <w:szCs w:val="24"/>
          <w:lang w:val="es-ES" w:eastAsia="es-ES"/>
        </w:rPr>
        <w:t>citud Intern</w:t>
      </w:r>
      <w:r w:rsidR="00BE5775">
        <w:rPr>
          <w:rFonts w:ascii="Times New Roman" w:hAnsi="Times New Roman"/>
          <w:b w:val="0"/>
          <w:szCs w:val="24"/>
          <w:lang w:val="es-ES" w:eastAsia="es-ES"/>
        </w:rPr>
        <w:t xml:space="preserve">a de Recursos (SIR). </w:t>
      </w:r>
      <w:r w:rsidR="00133F70">
        <w:rPr>
          <w:rFonts w:ascii="Times New Roman" w:hAnsi="Times New Roman"/>
          <w:b w:val="0"/>
          <w:szCs w:val="24"/>
          <w:lang w:val="es-ES" w:eastAsia="es-ES"/>
        </w:rPr>
        <w:t>Esto,</w:t>
      </w:r>
      <w:r w:rsidR="00B610D8">
        <w:rPr>
          <w:rFonts w:ascii="Times New Roman" w:hAnsi="Times New Roman"/>
          <w:b w:val="0"/>
          <w:szCs w:val="24"/>
          <w:lang w:val="es-ES" w:eastAsia="es-ES"/>
        </w:rPr>
        <w:t xml:space="preserve"> debido a que corresponde a Financiero Contable</w:t>
      </w:r>
      <w:r w:rsidR="00133F70">
        <w:rPr>
          <w:rFonts w:ascii="Times New Roman" w:hAnsi="Times New Roman"/>
          <w:b w:val="0"/>
          <w:szCs w:val="24"/>
          <w:lang w:val="es-ES" w:eastAsia="es-ES"/>
        </w:rPr>
        <w:t xml:space="preserve"> confeccionar </w:t>
      </w:r>
      <w:r w:rsidR="00B610D8">
        <w:rPr>
          <w:rFonts w:ascii="Times New Roman" w:hAnsi="Times New Roman"/>
          <w:b w:val="0"/>
          <w:szCs w:val="24"/>
          <w:lang w:val="es-ES" w:eastAsia="es-ES"/>
        </w:rPr>
        <w:t>y aprobar mediante el sistema</w:t>
      </w:r>
      <w:r w:rsidR="00133F70">
        <w:rPr>
          <w:rFonts w:ascii="Times New Roman" w:hAnsi="Times New Roman"/>
          <w:b w:val="0"/>
          <w:szCs w:val="24"/>
          <w:lang w:val="es-ES" w:eastAsia="es-ES"/>
        </w:rPr>
        <w:t xml:space="preserve"> SIGA los caducos de reservas.</w:t>
      </w:r>
      <w:r w:rsidR="007D6648">
        <w:rPr>
          <w:rFonts w:ascii="Times New Roman" w:hAnsi="Times New Roman"/>
          <w:b w:val="0"/>
          <w:szCs w:val="24"/>
          <w:lang w:val="es-ES" w:eastAsia="es-ES"/>
        </w:rPr>
        <w:t xml:space="preserve"> Igualmente, los Centros Gestores, Administradores Regionales</w:t>
      </w:r>
      <w:r w:rsidR="00F8748B">
        <w:rPr>
          <w:rFonts w:ascii="Times New Roman" w:hAnsi="Times New Roman"/>
          <w:b w:val="0"/>
          <w:szCs w:val="24"/>
          <w:lang w:val="es-ES" w:eastAsia="es-ES"/>
        </w:rPr>
        <w:t>, de Rubro</w:t>
      </w:r>
      <w:r w:rsidR="007D6648">
        <w:rPr>
          <w:rFonts w:ascii="Times New Roman" w:hAnsi="Times New Roman"/>
          <w:b w:val="0"/>
          <w:szCs w:val="24"/>
          <w:lang w:val="es-ES" w:eastAsia="es-ES"/>
        </w:rPr>
        <w:t xml:space="preserve"> y de Programas deben dar seguimiento al trámite y aprobación en el Sistema SIGA-PJ.</w:t>
      </w:r>
    </w:p>
    <w:p w:rsidR="00056157" w:rsidRPr="000655A7" w:rsidRDefault="00056157" w:rsidP="00016459">
      <w:pPr>
        <w:pStyle w:val="Textoindependiente31"/>
        <w:tabs>
          <w:tab w:val="left" w:pos="709"/>
          <w:tab w:val="num" w:pos="1418"/>
        </w:tabs>
        <w:ind w:left="1418" w:hanging="709"/>
        <w:rPr>
          <w:rFonts w:ascii="Times New Roman" w:hAnsi="Times New Roman"/>
          <w:szCs w:val="24"/>
          <w:lang w:val="es-ES" w:eastAsia="es-ES"/>
        </w:rPr>
      </w:pPr>
    </w:p>
    <w:p w:rsidR="001F6866" w:rsidRDefault="00056157" w:rsidP="000955CD">
      <w:pPr>
        <w:numPr>
          <w:ilvl w:val="1"/>
          <w:numId w:val="21"/>
        </w:numPr>
        <w:tabs>
          <w:tab w:val="clear" w:pos="792"/>
          <w:tab w:val="num" w:pos="1418"/>
        </w:tabs>
        <w:suppressAutoHyphens w:val="0"/>
        <w:ind w:left="1418" w:hanging="709"/>
        <w:jc w:val="both"/>
        <w:rPr>
          <w:sz w:val="24"/>
          <w:szCs w:val="24"/>
          <w:lang w:val="es-ES" w:eastAsia="es-ES"/>
        </w:rPr>
      </w:pPr>
      <w:r w:rsidRPr="000655A7">
        <w:rPr>
          <w:sz w:val="24"/>
          <w:szCs w:val="24"/>
          <w:lang w:val="es-ES" w:eastAsia="es-ES"/>
        </w:rPr>
        <w:t xml:space="preserve">Para caducos de compromisos no devengados </w:t>
      </w:r>
      <w:r w:rsidR="000955CD">
        <w:rPr>
          <w:sz w:val="24"/>
          <w:szCs w:val="24"/>
          <w:lang w:val="es-ES" w:eastAsia="es-ES"/>
        </w:rPr>
        <w:t xml:space="preserve">(CND de </w:t>
      </w:r>
      <w:r w:rsidR="007D6648">
        <w:rPr>
          <w:sz w:val="24"/>
          <w:szCs w:val="24"/>
          <w:lang w:val="es-ES" w:eastAsia="es-ES"/>
        </w:rPr>
        <w:t xml:space="preserve">reservas y </w:t>
      </w:r>
      <w:r w:rsidRPr="000655A7">
        <w:rPr>
          <w:sz w:val="24"/>
          <w:szCs w:val="24"/>
          <w:lang w:val="es-ES" w:eastAsia="es-ES"/>
        </w:rPr>
        <w:t xml:space="preserve">pedidos </w:t>
      </w:r>
      <w:r w:rsidR="00867AC9">
        <w:rPr>
          <w:sz w:val="24"/>
          <w:szCs w:val="24"/>
          <w:lang w:val="es-ES" w:eastAsia="es-ES"/>
        </w:rPr>
        <w:t>del 2018</w:t>
      </w:r>
      <w:r w:rsidRPr="000655A7">
        <w:rPr>
          <w:sz w:val="24"/>
          <w:szCs w:val="24"/>
          <w:lang w:val="es-ES" w:eastAsia="es-ES"/>
        </w:rPr>
        <w:t>)</w:t>
      </w:r>
      <w:r w:rsidR="00BC7887">
        <w:rPr>
          <w:sz w:val="24"/>
          <w:szCs w:val="24"/>
          <w:lang w:val="es-ES" w:eastAsia="es-ES"/>
        </w:rPr>
        <w:t xml:space="preserve">, todos los documentos </w:t>
      </w:r>
      <w:r w:rsidR="003C2593">
        <w:rPr>
          <w:sz w:val="24"/>
          <w:szCs w:val="24"/>
          <w:lang w:val="es-ES" w:eastAsia="es-ES"/>
        </w:rPr>
        <w:t>se encuentran</w:t>
      </w:r>
      <w:r w:rsidR="00BC7887">
        <w:rPr>
          <w:sz w:val="24"/>
          <w:szCs w:val="24"/>
          <w:lang w:val="es-ES" w:eastAsia="es-ES"/>
        </w:rPr>
        <w:t xml:space="preserve"> migrados en SIGA</w:t>
      </w:r>
      <w:r w:rsidR="00D33B93">
        <w:rPr>
          <w:sz w:val="24"/>
          <w:szCs w:val="24"/>
          <w:lang w:val="es-ES" w:eastAsia="es-ES"/>
        </w:rPr>
        <w:t>,</w:t>
      </w:r>
      <w:r w:rsidR="00BC7887">
        <w:rPr>
          <w:sz w:val="24"/>
          <w:szCs w:val="24"/>
          <w:lang w:val="es-ES" w:eastAsia="es-ES"/>
        </w:rPr>
        <w:t xml:space="preserve"> por lo que</w:t>
      </w:r>
      <w:r w:rsidR="00D33B93">
        <w:rPr>
          <w:sz w:val="24"/>
          <w:szCs w:val="24"/>
          <w:lang w:val="es-ES" w:eastAsia="es-ES"/>
        </w:rPr>
        <w:t xml:space="preserve"> corresponde a cada responsable</w:t>
      </w:r>
      <w:r w:rsidR="003C2593">
        <w:rPr>
          <w:sz w:val="24"/>
          <w:szCs w:val="24"/>
          <w:lang w:val="es-ES" w:eastAsia="es-ES"/>
        </w:rPr>
        <w:t xml:space="preserve"> </w:t>
      </w:r>
      <w:r w:rsidR="00D33B93">
        <w:rPr>
          <w:sz w:val="24"/>
          <w:szCs w:val="24"/>
          <w:lang w:val="es-ES" w:eastAsia="es-ES"/>
        </w:rPr>
        <w:t xml:space="preserve">verificar si procede el caduco y realizarlo en el sistema, con excepción de las reservas por cuanto se debe seguir las indicaciones del punto 1.2 de </w:t>
      </w:r>
      <w:proofErr w:type="gramStart"/>
      <w:r w:rsidR="00D33B93">
        <w:rPr>
          <w:sz w:val="24"/>
          <w:szCs w:val="24"/>
          <w:lang w:val="es-ES" w:eastAsia="es-ES"/>
        </w:rPr>
        <w:t>ésta</w:t>
      </w:r>
      <w:proofErr w:type="gramEnd"/>
      <w:r w:rsidR="00D33B93">
        <w:rPr>
          <w:sz w:val="24"/>
          <w:szCs w:val="24"/>
          <w:lang w:val="es-ES" w:eastAsia="es-ES"/>
        </w:rPr>
        <w:t xml:space="preserve"> circular</w:t>
      </w:r>
      <w:r w:rsidR="003C2593">
        <w:rPr>
          <w:sz w:val="24"/>
          <w:szCs w:val="24"/>
          <w:lang w:val="es-ES" w:eastAsia="es-ES"/>
        </w:rPr>
        <w:t>.</w:t>
      </w:r>
      <w:r w:rsidR="000955CD">
        <w:rPr>
          <w:sz w:val="24"/>
          <w:szCs w:val="24"/>
          <w:lang w:val="es-ES" w:eastAsia="es-ES"/>
        </w:rPr>
        <w:t xml:space="preserve"> </w:t>
      </w:r>
    </w:p>
    <w:p w:rsidR="001F6866" w:rsidRDefault="001F6866" w:rsidP="007D190A">
      <w:pPr>
        <w:pStyle w:val="Prrafodelista"/>
        <w:ind w:left="0"/>
        <w:rPr>
          <w:sz w:val="24"/>
          <w:szCs w:val="24"/>
          <w:lang w:val="es-ES" w:eastAsia="es-ES"/>
        </w:rPr>
      </w:pPr>
    </w:p>
    <w:p w:rsidR="00515DF7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</w:p>
    <w:p w:rsidR="00515DF7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</w:p>
    <w:p w:rsidR="00515DF7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</w:p>
    <w:p w:rsidR="00515DF7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</w:p>
    <w:p w:rsidR="00515DF7" w:rsidRDefault="000955CD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Es muy importante tomar </w:t>
      </w:r>
      <w:r w:rsidR="001F6866">
        <w:rPr>
          <w:sz w:val="24"/>
          <w:szCs w:val="24"/>
          <w:lang w:val="es-ES" w:eastAsia="es-ES"/>
        </w:rPr>
        <w:t>en cuenta que</w:t>
      </w:r>
      <w:r w:rsidR="00F0198A">
        <w:rPr>
          <w:sz w:val="24"/>
          <w:szCs w:val="24"/>
          <w:lang w:val="es-ES" w:eastAsia="es-ES"/>
        </w:rPr>
        <w:t>,</w:t>
      </w:r>
      <w:r w:rsidR="001F6866">
        <w:rPr>
          <w:sz w:val="24"/>
          <w:szCs w:val="24"/>
          <w:lang w:val="es-ES" w:eastAsia="es-ES"/>
        </w:rPr>
        <w:t xml:space="preserve"> </w:t>
      </w:r>
      <w:r w:rsidR="001F6866" w:rsidRPr="001F6866">
        <w:rPr>
          <w:b/>
          <w:sz w:val="24"/>
          <w:szCs w:val="24"/>
          <w:u w:val="single"/>
          <w:lang w:val="es-ES" w:eastAsia="es-ES"/>
        </w:rPr>
        <w:t>los caducos de</w:t>
      </w:r>
      <w:r w:rsidRPr="001F6866">
        <w:rPr>
          <w:b/>
          <w:sz w:val="24"/>
          <w:szCs w:val="24"/>
          <w:u w:val="single"/>
          <w:lang w:val="es-ES" w:eastAsia="es-ES"/>
        </w:rPr>
        <w:t xml:space="preserve"> CND que generan negativos a nivel d</w:t>
      </w:r>
      <w:r w:rsidR="001F6866" w:rsidRPr="001F6866">
        <w:rPr>
          <w:b/>
          <w:sz w:val="24"/>
          <w:szCs w:val="24"/>
          <w:u w:val="single"/>
          <w:lang w:val="es-ES" w:eastAsia="es-ES"/>
        </w:rPr>
        <w:t>e programa no se pueden caducar</w:t>
      </w:r>
      <w:r w:rsidRPr="006C241E">
        <w:rPr>
          <w:sz w:val="24"/>
          <w:szCs w:val="24"/>
          <w:lang w:val="es-ES" w:eastAsia="es-ES"/>
        </w:rPr>
        <w:t xml:space="preserve"> por reglas de arrastre del Ministerio de Hacienda</w:t>
      </w:r>
      <w:r w:rsidR="001F6866">
        <w:rPr>
          <w:sz w:val="24"/>
          <w:szCs w:val="24"/>
          <w:lang w:val="es-ES" w:eastAsia="es-ES"/>
        </w:rPr>
        <w:t>,</w:t>
      </w:r>
      <w:r w:rsidRPr="006C241E">
        <w:rPr>
          <w:sz w:val="24"/>
          <w:szCs w:val="24"/>
          <w:lang w:val="es-ES" w:eastAsia="es-ES"/>
        </w:rPr>
        <w:t xml:space="preserve"> por lo que se deben cubrir mediante Mod</w:t>
      </w:r>
      <w:r w:rsidR="00515DF7">
        <w:rPr>
          <w:sz w:val="24"/>
          <w:szCs w:val="24"/>
          <w:lang w:val="es-ES" w:eastAsia="es-ES"/>
        </w:rPr>
        <w:t xml:space="preserve">ificación Externa, una vez que el Ministerio de Hacienda apruebe dicha modificación podrán realizar los caducos que se encuentre en negativo. </w:t>
      </w:r>
    </w:p>
    <w:p w:rsidR="00515DF7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</w:p>
    <w:p w:rsidR="000955CD" w:rsidRDefault="00515DF7" w:rsidP="004A7974">
      <w:pPr>
        <w:suppressAutoHyphens w:val="0"/>
        <w:ind w:left="1418" w:firstLine="708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Lo</w:t>
      </w:r>
      <w:r w:rsidR="006C241E">
        <w:rPr>
          <w:sz w:val="24"/>
          <w:szCs w:val="24"/>
          <w:lang w:val="es-ES" w:eastAsia="es-ES"/>
        </w:rPr>
        <w:t>s siguientes registros contables</w:t>
      </w:r>
      <w:r>
        <w:rPr>
          <w:sz w:val="24"/>
          <w:szCs w:val="24"/>
          <w:lang w:val="es-ES" w:eastAsia="es-ES"/>
        </w:rPr>
        <w:t xml:space="preserve"> son los que se encuentran en negativo a nivel de programa</w:t>
      </w:r>
      <w:r w:rsidR="001F6866">
        <w:rPr>
          <w:sz w:val="24"/>
          <w:szCs w:val="24"/>
          <w:lang w:val="es-ES" w:eastAsia="es-ES"/>
        </w:rPr>
        <w:t>:</w:t>
      </w:r>
    </w:p>
    <w:p w:rsidR="006C241E" w:rsidRDefault="006C241E" w:rsidP="006C241E">
      <w:pPr>
        <w:pStyle w:val="Prrafodelista"/>
        <w:rPr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84"/>
        <w:gridCol w:w="962"/>
      </w:tblGrid>
      <w:tr w:rsidR="003E33DE" w:rsidRPr="006D2A00" w:rsidTr="006D2A00">
        <w:trPr>
          <w:jc w:val="center"/>
        </w:trPr>
        <w:tc>
          <w:tcPr>
            <w:tcW w:w="1083" w:type="dxa"/>
            <w:shd w:val="clear" w:color="auto" w:fill="BFBFBF"/>
          </w:tcPr>
          <w:p w:rsidR="003E33DE" w:rsidRPr="006D2A00" w:rsidRDefault="003E33DE" w:rsidP="006D2A00">
            <w:pPr>
              <w:suppressAutoHyphens w:val="0"/>
              <w:jc w:val="center"/>
              <w:rPr>
                <w:b/>
                <w:lang w:val="es-ES" w:eastAsia="es-ES"/>
              </w:rPr>
            </w:pPr>
            <w:r w:rsidRPr="006D2A00">
              <w:rPr>
                <w:b/>
                <w:lang w:val="es-ES" w:eastAsia="es-ES"/>
              </w:rPr>
              <w:t>Programa</w:t>
            </w:r>
          </w:p>
        </w:tc>
        <w:tc>
          <w:tcPr>
            <w:tcW w:w="1184" w:type="dxa"/>
            <w:shd w:val="clear" w:color="auto" w:fill="BFBFBF"/>
          </w:tcPr>
          <w:p w:rsidR="003E33DE" w:rsidRPr="006D2A00" w:rsidRDefault="003E33DE" w:rsidP="006D2A00">
            <w:pPr>
              <w:suppressAutoHyphens w:val="0"/>
              <w:jc w:val="center"/>
              <w:rPr>
                <w:b/>
                <w:lang w:val="es-ES" w:eastAsia="es-ES"/>
              </w:rPr>
            </w:pPr>
            <w:r w:rsidRPr="006D2A00">
              <w:rPr>
                <w:b/>
                <w:lang w:val="es-ES" w:eastAsia="es-ES"/>
              </w:rPr>
              <w:t>Subpartida</w:t>
            </w:r>
          </w:p>
        </w:tc>
        <w:tc>
          <w:tcPr>
            <w:tcW w:w="962" w:type="dxa"/>
            <w:shd w:val="clear" w:color="auto" w:fill="BFBFBF"/>
          </w:tcPr>
          <w:p w:rsidR="003E33DE" w:rsidRPr="006D2A00" w:rsidRDefault="003E33DE" w:rsidP="006D2A00">
            <w:pPr>
              <w:suppressAutoHyphens w:val="0"/>
              <w:jc w:val="center"/>
              <w:rPr>
                <w:b/>
                <w:lang w:val="es-ES" w:eastAsia="es-ES"/>
              </w:rPr>
            </w:pPr>
            <w:r w:rsidRPr="006D2A00">
              <w:rPr>
                <w:b/>
                <w:lang w:val="es-ES" w:eastAsia="es-ES"/>
              </w:rPr>
              <w:t xml:space="preserve">Fuente </w:t>
            </w:r>
            <w:proofErr w:type="spellStart"/>
            <w:r w:rsidRPr="006D2A00">
              <w:rPr>
                <w:b/>
                <w:lang w:val="es-ES" w:eastAsia="es-ES"/>
              </w:rPr>
              <w:t>Financ</w:t>
            </w:r>
            <w:proofErr w:type="spellEnd"/>
            <w:r w:rsidRPr="006D2A00">
              <w:rPr>
                <w:b/>
                <w:lang w:val="es-ES" w:eastAsia="es-ES"/>
              </w:rPr>
              <w:t>.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3E33DE" w:rsidP="006D2A00">
            <w:pPr>
              <w:suppressAutoHyphens w:val="0"/>
              <w:jc w:val="center"/>
              <w:rPr>
                <w:lang w:val="es-ES" w:eastAsia="es-ES"/>
              </w:rPr>
            </w:pPr>
            <w:r w:rsidRPr="006D2A00">
              <w:rPr>
                <w:lang w:val="es-ES" w:eastAsia="es-ES"/>
              </w:rPr>
              <w:t>926</w:t>
            </w:r>
          </w:p>
        </w:tc>
        <w:tc>
          <w:tcPr>
            <w:tcW w:w="1184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50102</w:t>
            </w:r>
          </w:p>
        </w:tc>
        <w:tc>
          <w:tcPr>
            <w:tcW w:w="962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926</w:t>
            </w:r>
          </w:p>
        </w:tc>
        <w:tc>
          <w:tcPr>
            <w:tcW w:w="1184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50202</w:t>
            </w:r>
          </w:p>
        </w:tc>
        <w:tc>
          <w:tcPr>
            <w:tcW w:w="962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926</w:t>
            </w:r>
          </w:p>
        </w:tc>
        <w:tc>
          <w:tcPr>
            <w:tcW w:w="1184" w:type="dxa"/>
          </w:tcPr>
          <w:p w:rsidR="003E33DE" w:rsidRPr="006D2A00" w:rsidRDefault="00F8788B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50299</w:t>
            </w:r>
          </w:p>
        </w:tc>
        <w:tc>
          <w:tcPr>
            <w:tcW w:w="962" w:type="dxa"/>
          </w:tcPr>
          <w:p w:rsidR="003E33DE" w:rsidRPr="006D2A00" w:rsidRDefault="003E33DE" w:rsidP="006D2A00">
            <w:pPr>
              <w:suppressAutoHyphens w:val="0"/>
              <w:jc w:val="center"/>
              <w:rPr>
                <w:lang w:val="es-ES" w:eastAsia="es-ES"/>
              </w:rPr>
            </w:pPr>
            <w:r w:rsidRPr="006D2A00">
              <w:rPr>
                <w:lang w:val="es-ES" w:eastAsia="es-ES"/>
              </w:rPr>
              <w:t>280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</w:t>
            </w:r>
            <w:r w:rsidR="0003366C">
              <w:rPr>
                <w:lang w:val="es-ES" w:eastAsia="es-ES"/>
              </w:rPr>
              <w:t>6</w:t>
            </w:r>
          </w:p>
        </w:tc>
        <w:tc>
          <w:tcPr>
            <w:tcW w:w="1184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503</w:t>
            </w:r>
            <w:r w:rsidR="004A7974">
              <w:rPr>
                <w:lang w:val="es-ES" w:eastAsia="es-ES"/>
              </w:rPr>
              <w:t>01</w:t>
            </w:r>
          </w:p>
        </w:tc>
        <w:tc>
          <w:tcPr>
            <w:tcW w:w="962" w:type="dxa"/>
          </w:tcPr>
          <w:p w:rsidR="003E33DE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</w:t>
            </w:r>
            <w:r w:rsidR="0003366C">
              <w:rPr>
                <w:lang w:val="es-ES" w:eastAsia="es-ES"/>
              </w:rPr>
              <w:t>7</w:t>
            </w:r>
          </w:p>
        </w:tc>
        <w:tc>
          <w:tcPr>
            <w:tcW w:w="1184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10801</w:t>
            </w:r>
          </w:p>
        </w:tc>
        <w:tc>
          <w:tcPr>
            <w:tcW w:w="962" w:type="dxa"/>
          </w:tcPr>
          <w:p w:rsidR="003E33DE" w:rsidRPr="006D2A00" w:rsidRDefault="008A6EE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927</w:t>
            </w:r>
          </w:p>
        </w:tc>
        <w:tc>
          <w:tcPr>
            <w:tcW w:w="1184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10803</w:t>
            </w:r>
          </w:p>
        </w:tc>
        <w:tc>
          <w:tcPr>
            <w:tcW w:w="962" w:type="dxa"/>
          </w:tcPr>
          <w:p w:rsidR="003E33DE" w:rsidRPr="006D2A00" w:rsidRDefault="008A6EE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927</w:t>
            </w:r>
          </w:p>
        </w:tc>
        <w:tc>
          <w:tcPr>
            <w:tcW w:w="1184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19999</w:t>
            </w:r>
          </w:p>
        </w:tc>
        <w:tc>
          <w:tcPr>
            <w:tcW w:w="962" w:type="dxa"/>
          </w:tcPr>
          <w:p w:rsidR="003E33DE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3E33DE" w:rsidRPr="006D2A00" w:rsidTr="006D2A00">
        <w:trPr>
          <w:jc w:val="center"/>
        </w:trPr>
        <w:tc>
          <w:tcPr>
            <w:tcW w:w="1083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927</w:t>
            </w:r>
          </w:p>
        </w:tc>
        <w:tc>
          <w:tcPr>
            <w:tcW w:w="1184" w:type="dxa"/>
          </w:tcPr>
          <w:p w:rsidR="003E33DE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50101</w:t>
            </w:r>
          </w:p>
        </w:tc>
        <w:tc>
          <w:tcPr>
            <w:tcW w:w="962" w:type="dxa"/>
          </w:tcPr>
          <w:p w:rsidR="003E33DE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927</w:t>
            </w:r>
          </w:p>
        </w:tc>
        <w:tc>
          <w:tcPr>
            <w:tcW w:w="1184" w:type="dxa"/>
          </w:tcPr>
          <w:p w:rsidR="004A7974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50201</w:t>
            </w:r>
          </w:p>
        </w:tc>
        <w:tc>
          <w:tcPr>
            <w:tcW w:w="962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927</w:t>
            </w:r>
          </w:p>
        </w:tc>
        <w:tc>
          <w:tcPr>
            <w:tcW w:w="1184" w:type="dxa"/>
          </w:tcPr>
          <w:p w:rsidR="004A7974" w:rsidRPr="006D2A00" w:rsidRDefault="0003366C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59999</w:t>
            </w:r>
          </w:p>
        </w:tc>
        <w:tc>
          <w:tcPr>
            <w:tcW w:w="962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</w:t>
            </w:r>
            <w:r w:rsidR="006179EF">
              <w:rPr>
                <w:lang w:val="es-ES" w:eastAsia="es-ES"/>
              </w:rPr>
              <w:t>8</w:t>
            </w:r>
          </w:p>
        </w:tc>
        <w:tc>
          <w:tcPr>
            <w:tcW w:w="1184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10305</w:t>
            </w:r>
          </w:p>
        </w:tc>
        <w:tc>
          <w:tcPr>
            <w:tcW w:w="962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</w:t>
            </w:r>
            <w:r w:rsidR="006179EF">
              <w:rPr>
                <w:lang w:val="es-ES" w:eastAsia="es-ES"/>
              </w:rPr>
              <w:t>8</w:t>
            </w:r>
          </w:p>
        </w:tc>
        <w:tc>
          <w:tcPr>
            <w:tcW w:w="1184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10405</w:t>
            </w:r>
          </w:p>
        </w:tc>
        <w:tc>
          <w:tcPr>
            <w:tcW w:w="962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929</w:t>
            </w:r>
          </w:p>
        </w:tc>
        <w:tc>
          <w:tcPr>
            <w:tcW w:w="1184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10203</w:t>
            </w:r>
          </w:p>
        </w:tc>
        <w:tc>
          <w:tcPr>
            <w:tcW w:w="962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929</w:t>
            </w:r>
          </w:p>
        </w:tc>
        <w:tc>
          <w:tcPr>
            <w:tcW w:w="1184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10804</w:t>
            </w:r>
          </w:p>
        </w:tc>
        <w:tc>
          <w:tcPr>
            <w:tcW w:w="962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929</w:t>
            </w:r>
          </w:p>
        </w:tc>
        <w:tc>
          <w:tcPr>
            <w:tcW w:w="1184" w:type="dxa"/>
          </w:tcPr>
          <w:p w:rsidR="004A7974" w:rsidRPr="006D2A00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10899</w:t>
            </w:r>
          </w:p>
        </w:tc>
        <w:tc>
          <w:tcPr>
            <w:tcW w:w="962" w:type="dxa"/>
          </w:tcPr>
          <w:p w:rsidR="004A7974" w:rsidRPr="006D2A00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929</w:t>
            </w:r>
          </w:p>
        </w:tc>
        <w:tc>
          <w:tcPr>
            <w:tcW w:w="1184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20199</w:t>
            </w:r>
          </w:p>
        </w:tc>
        <w:tc>
          <w:tcPr>
            <w:tcW w:w="962" w:type="dxa"/>
          </w:tcPr>
          <w:p w:rsidR="004A7974" w:rsidRDefault="00CC68D4" w:rsidP="004A7974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929</w:t>
            </w:r>
          </w:p>
        </w:tc>
        <w:tc>
          <w:tcPr>
            <w:tcW w:w="1184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20302</w:t>
            </w:r>
          </w:p>
        </w:tc>
        <w:tc>
          <w:tcPr>
            <w:tcW w:w="962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93</w:t>
            </w:r>
            <w:r w:rsidR="004A7974">
              <w:rPr>
                <w:lang w:val="es-ES" w:eastAsia="es-ES"/>
              </w:rPr>
              <w:t>0</w:t>
            </w:r>
          </w:p>
        </w:tc>
        <w:tc>
          <w:tcPr>
            <w:tcW w:w="1184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29902</w:t>
            </w:r>
          </w:p>
        </w:tc>
        <w:tc>
          <w:tcPr>
            <w:tcW w:w="962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950</w:t>
            </w:r>
          </w:p>
        </w:tc>
        <w:tc>
          <w:tcPr>
            <w:tcW w:w="1184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20302</w:t>
            </w:r>
          </w:p>
        </w:tc>
        <w:tc>
          <w:tcPr>
            <w:tcW w:w="962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001</w:t>
            </w:r>
          </w:p>
        </w:tc>
      </w:tr>
      <w:tr w:rsidR="004A7974" w:rsidRPr="006D2A00" w:rsidTr="006D2A00">
        <w:trPr>
          <w:jc w:val="center"/>
        </w:trPr>
        <w:tc>
          <w:tcPr>
            <w:tcW w:w="1083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950</w:t>
            </w:r>
          </w:p>
        </w:tc>
        <w:tc>
          <w:tcPr>
            <w:tcW w:w="1184" w:type="dxa"/>
          </w:tcPr>
          <w:p w:rsidR="004A7974" w:rsidRDefault="00CC68D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59999</w:t>
            </w:r>
          </w:p>
        </w:tc>
        <w:tc>
          <w:tcPr>
            <w:tcW w:w="962" w:type="dxa"/>
          </w:tcPr>
          <w:p w:rsidR="004A7974" w:rsidRDefault="004A7974" w:rsidP="006D2A00">
            <w:pPr>
              <w:suppressAutoHyphens w:val="0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  <w:t>280</w:t>
            </w:r>
          </w:p>
        </w:tc>
      </w:tr>
    </w:tbl>
    <w:p w:rsidR="006C241E" w:rsidRPr="000955CD" w:rsidRDefault="006C241E" w:rsidP="006C241E">
      <w:pPr>
        <w:suppressAutoHyphens w:val="0"/>
        <w:ind w:left="1418"/>
        <w:jc w:val="both"/>
        <w:rPr>
          <w:sz w:val="24"/>
          <w:szCs w:val="24"/>
          <w:lang w:val="es-ES" w:eastAsia="es-ES"/>
        </w:rPr>
      </w:pPr>
    </w:p>
    <w:p w:rsidR="000955CD" w:rsidRPr="001F6866" w:rsidRDefault="001F6866" w:rsidP="00F0198A">
      <w:pPr>
        <w:suppressAutoHyphens w:val="0"/>
        <w:ind w:left="1418" w:firstLine="706"/>
        <w:jc w:val="both"/>
        <w:rPr>
          <w:b/>
          <w:sz w:val="24"/>
          <w:szCs w:val="24"/>
          <w:u w:val="single"/>
          <w:lang w:eastAsia="es-ES"/>
        </w:rPr>
      </w:pPr>
      <w:r w:rsidRPr="001F6866">
        <w:rPr>
          <w:b/>
          <w:sz w:val="24"/>
          <w:szCs w:val="24"/>
          <w:u w:val="single"/>
          <w:lang w:eastAsia="es-ES"/>
        </w:rPr>
        <w:t xml:space="preserve">Los caducos de </w:t>
      </w:r>
      <w:r>
        <w:rPr>
          <w:b/>
          <w:sz w:val="24"/>
          <w:szCs w:val="24"/>
          <w:u w:val="single"/>
          <w:lang w:eastAsia="es-ES"/>
        </w:rPr>
        <w:t xml:space="preserve">CND </w:t>
      </w:r>
      <w:r w:rsidR="007D6648">
        <w:rPr>
          <w:b/>
          <w:sz w:val="24"/>
          <w:szCs w:val="24"/>
          <w:u w:val="single"/>
          <w:lang w:eastAsia="es-ES"/>
        </w:rPr>
        <w:t xml:space="preserve">deben ser gestionados en estado “Autorizado por Encargado” </w:t>
      </w:r>
      <w:r w:rsidR="00515DF7">
        <w:rPr>
          <w:b/>
          <w:sz w:val="24"/>
          <w:szCs w:val="24"/>
          <w:u w:val="single"/>
          <w:lang w:eastAsia="es-ES"/>
        </w:rPr>
        <w:t>a más tardar e</w:t>
      </w:r>
      <w:r w:rsidR="0065327F">
        <w:rPr>
          <w:b/>
          <w:sz w:val="24"/>
          <w:szCs w:val="24"/>
          <w:u w:val="single"/>
          <w:lang w:eastAsia="es-ES"/>
        </w:rPr>
        <w:t>l miércoles 17 de enero del 2019</w:t>
      </w:r>
      <w:r w:rsidRPr="001F6866">
        <w:rPr>
          <w:b/>
          <w:sz w:val="24"/>
          <w:szCs w:val="24"/>
          <w:u w:val="single"/>
          <w:lang w:eastAsia="es-ES"/>
        </w:rPr>
        <w:t>.</w:t>
      </w:r>
    </w:p>
    <w:p w:rsidR="001F6866" w:rsidRPr="000955CD" w:rsidRDefault="001F6866" w:rsidP="000955CD">
      <w:pPr>
        <w:suppressAutoHyphens w:val="0"/>
        <w:ind w:left="1418"/>
        <w:jc w:val="both"/>
        <w:rPr>
          <w:sz w:val="24"/>
          <w:szCs w:val="24"/>
          <w:lang w:eastAsia="es-ES"/>
        </w:rPr>
      </w:pPr>
    </w:p>
    <w:p w:rsidR="00D33B93" w:rsidRDefault="00D33B93" w:rsidP="00016459">
      <w:pPr>
        <w:numPr>
          <w:ilvl w:val="1"/>
          <w:numId w:val="21"/>
        </w:numPr>
        <w:tabs>
          <w:tab w:val="clear" w:pos="792"/>
          <w:tab w:val="num" w:pos="1418"/>
        </w:tabs>
        <w:suppressAutoHyphens w:val="0"/>
        <w:ind w:left="1418" w:hanging="709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 Se reitera que</w:t>
      </w:r>
      <w:r w:rsidR="005A18B9" w:rsidRPr="00016459">
        <w:rPr>
          <w:sz w:val="24"/>
          <w:szCs w:val="24"/>
          <w:lang w:val="es-ES" w:eastAsia="es-ES"/>
        </w:rPr>
        <w:t xml:space="preserve"> no se comunicará la aprobación final de los caducos, por lo que cada Centro Gestor deberá dar el seguimiento respectivo en SIGA mediante el</w:t>
      </w:r>
      <w:r>
        <w:rPr>
          <w:sz w:val="24"/>
          <w:szCs w:val="24"/>
          <w:lang w:val="es-ES" w:eastAsia="es-ES"/>
        </w:rPr>
        <w:t xml:space="preserve"> Reporte de Consulta de Caducos, cuya ruta en SIGA es la </w:t>
      </w:r>
      <w:r w:rsidR="00135B4E">
        <w:rPr>
          <w:sz w:val="24"/>
          <w:szCs w:val="24"/>
          <w:lang w:val="es-ES" w:eastAsia="es-ES"/>
        </w:rPr>
        <w:t>siguiente</w:t>
      </w:r>
      <w:r>
        <w:rPr>
          <w:sz w:val="24"/>
          <w:szCs w:val="24"/>
          <w:lang w:val="es-ES" w:eastAsia="es-ES"/>
        </w:rPr>
        <w:t>:</w:t>
      </w:r>
    </w:p>
    <w:p w:rsidR="00D33B93" w:rsidRDefault="00D33B93" w:rsidP="00D33B93">
      <w:pPr>
        <w:pStyle w:val="Prrafodelista"/>
        <w:rPr>
          <w:sz w:val="24"/>
          <w:szCs w:val="24"/>
          <w:lang w:val="es-ES" w:eastAsia="es-ES"/>
        </w:rPr>
      </w:pPr>
    </w:p>
    <w:p w:rsidR="00D33B93" w:rsidRDefault="00E87E1D" w:rsidP="00D33B93">
      <w:pPr>
        <w:suppressAutoHyphens w:val="0"/>
        <w:ind w:left="1418"/>
        <w:jc w:val="center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4pt;height:184.8pt">
            <v:imagedata r:id="rId7" o:title=""/>
          </v:shape>
        </w:pict>
      </w:r>
    </w:p>
    <w:p w:rsidR="00D33B93" w:rsidRDefault="00D33B93" w:rsidP="00D33B93">
      <w:pPr>
        <w:pStyle w:val="Prrafodelista"/>
        <w:rPr>
          <w:sz w:val="24"/>
          <w:szCs w:val="24"/>
          <w:lang w:val="es-ES" w:eastAsia="es-ES"/>
        </w:rPr>
      </w:pPr>
    </w:p>
    <w:p w:rsidR="001F6866" w:rsidRPr="00B62BF2" w:rsidRDefault="001F6866" w:rsidP="00135B4E">
      <w:pPr>
        <w:suppressAutoHyphens w:val="0"/>
        <w:ind w:firstLine="708"/>
        <w:jc w:val="both"/>
        <w:rPr>
          <w:sz w:val="24"/>
          <w:szCs w:val="24"/>
          <w:lang w:eastAsia="es-ES"/>
        </w:rPr>
      </w:pPr>
    </w:p>
    <w:p w:rsidR="004A7974" w:rsidRPr="00B62BF2" w:rsidRDefault="004A7974" w:rsidP="00B62BF2">
      <w:pPr>
        <w:numPr>
          <w:ilvl w:val="0"/>
          <w:numId w:val="21"/>
        </w:numPr>
        <w:suppressAutoHyphens w:val="0"/>
        <w:jc w:val="both"/>
        <w:rPr>
          <w:sz w:val="24"/>
          <w:szCs w:val="24"/>
          <w:u w:val="single"/>
          <w:lang w:eastAsia="es-ES"/>
        </w:rPr>
      </w:pPr>
      <w:r w:rsidRPr="00B62BF2">
        <w:rPr>
          <w:sz w:val="24"/>
          <w:szCs w:val="24"/>
          <w:u w:val="single"/>
          <w:lang w:eastAsia="es-ES"/>
        </w:rPr>
        <w:t>Caducos urgentes:</w:t>
      </w:r>
    </w:p>
    <w:p w:rsidR="004A7974" w:rsidRPr="00B62BF2" w:rsidRDefault="004A7974" w:rsidP="00B62BF2">
      <w:pPr>
        <w:suppressAutoHyphens w:val="0"/>
        <w:ind w:firstLine="708"/>
        <w:jc w:val="both"/>
        <w:rPr>
          <w:sz w:val="24"/>
          <w:szCs w:val="24"/>
          <w:lang w:eastAsia="es-ES"/>
        </w:rPr>
      </w:pPr>
    </w:p>
    <w:p w:rsidR="004A7974" w:rsidRPr="00B62BF2" w:rsidRDefault="004A7974" w:rsidP="00B62BF2">
      <w:pPr>
        <w:suppressAutoHyphens w:val="0"/>
        <w:ind w:firstLine="708"/>
        <w:jc w:val="both"/>
        <w:rPr>
          <w:sz w:val="24"/>
          <w:szCs w:val="24"/>
          <w:lang w:eastAsia="es-ES"/>
        </w:rPr>
      </w:pPr>
      <w:r w:rsidRPr="00B62BF2">
        <w:rPr>
          <w:sz w:val="24"/>
          <w:szCs w:val="24"/>
          <w:lang w:eastAsia="es-ES"/>
        </w:rPr>
        <w:tab/>
        <w:t xml:space="preserve">En caso de requerir la aprobación de un caduco en forma urgente serán únicamente recibidos de 7:30 </w:t>
      </w:r>
      <w:proofErr w:type="spellStart"/>
      <w:r w:rsidRPr="00B62BF2">
        <w:rPr>
          <w:sz w:val="24"/>
          <w:szCs w:val="24"/>
          <w:lang w:eastAsia="es-ES"/>
        </w:rPr>
        <w:t>a.m</w:t>
      </w:r>
      <w:proofErr w:type="spellEnd"/>
      <w:r w:rsidRPr="00B62BF2">
        <w:rPr>
          <w:sz w:val="24"/>
          <w:szCs w:val="24"/>
          <w:lang w:eastAsia="es-ES"/>
        </w:rPr>
        <w:t xml:space="preserve"> a 9:00 </w:t>
      </w:r>
      <w:proofErr w:type="spellStart"/>
      <w:r w:rsidRPr="00B62BF2">
        <w:rPr>
          <w:sz w:val="24"/>
          <w:szCs w:val="24"/>
          <w:lang w:eastAsia="es-ES"/>
        </w:rPr>
        <w:t>a.m</w:t>
      </w:r>
      <w:proofErr w:type="spellEnd"/>
      <w:r w:rsidRPr="00B62BF2">
        <w:rPr>
          <w:sz w:val="24"/>
          <w:szCs w:val="24"/>
          <w:lang w:eastAsia="es-ES"/>
        </w:rPr>
        <w:t xml:space="preserve"> de cada día hábil, por lo que deberán de solicitarlos en ese </w:t>
      </w:r>
      <w:proofErr w:type="gramStart"/>
      <w:r w:rsidRPr="00B62BF2">
        <w:rPr>
          <w:sz w:val="24"/>
          <w:szCs w:val="24"/>
          <w:lang w:eastAsia="es-ES"/>
        </w:rPr>
        <w:t>lapso de tiempo</w:t>
      </w:r>
      <w:proofErr w:type="gramEnd"/>
      <w:r w:rsidRPr="00B62BF2">
        <w:rPr>
          <w:sz w:val="24"/>
          <w:szCs w:val="24"/>
          <w:lang w:eastAsia="es-ES"/>
        </w:rPr>
        <w:t xml:space="preserve"> al correo electrónico de “Caducos” y en el asunto del correo debe señalar URGENTE</w:t>
      </w:r>
      <w:r w:rsidR="00B62BF2" w:rsidRPr="00B62BF2">
        <w:rPr>
          <w:sz w:val="24"/>
          <w:szCs w:val="24"/>
          <w:lang w:eastAsia="es-ES"/>
        </w:rPr>
        <w:t xml:space="preserve"> y en el cuerpo del correo indicar el número de caduco de SIGA o el archivo del caduco de la reserva. </w:t>
      </w:r>
      <w:r w:rsidRPr="00B62BF2">
        <w:rPr>
          <w:sz w:val="24"/>
          <w:szCs w:val="24"/>
          <w:lang w:eastAsia="es-ES"/>
        </w:rPr>
        <w:t xml:space="preserve">Asimismo, se señalará en el correo las justificaciones respectivas para que sea tramitado a la brevedad. Es importante aclarar que este Subproceso valorará si la </w:t>
      </w:r>
      <w:proofErr w:type="gramStart"/>
      <w:r w:rsidRPr="00B62BF2">
        <w:rPr>
          <w:sz w:val="24"/>
          <w:szCs w:val="24"/>
          <w:lang w:eastAsia="es-ES"/>
        </w:rPr>
        <w:t>gestión  efectivamente</w:t>
      </w:r>
      <w:proofErr w:type="gramEnd"/>
      <w:r w:rsidRPr="00B62BF2">
        <w:rPr>
          <w:sz w:val="24"/>
          <w:szCs w:val="24"/>
          <w:lang w:eastAsia="es-ES"/>
        </w:rPr>
        <w:t xml:space="preserve"> corresponde a una urgen</w:t>
      </w:r>
      <w:r w:rsidR="00F8748B">
        <w:rPr>
          <w:sz w:val="24"/>
          <w:szCs w:val="24"/>
          <w:lang w:eastAsia="es-ES"/>
        </w:rPr>
        <w:t>cia, caso contrario se tramitará</w:t>
      </w:r>
      <w:r w:rsidRPr="00B62BF2">
        <w:rPr>
          <w:sz w:val="24"/>
          <w:szCs w:val="24"/>
          <w:lang w:eastAsia="es-ES"/>
        </w:rPr>
        <w:t xml:space="preserve"> en forma ordinaria.</w:t>
      </w:r>
    </w:p>
    <w:p w:rsidR="004A7974" w:rsidRPr="00B62BF2" w:rsidRDefault="004A7974" w:rsidP="00B62BF2">
      <w:pPr>
        <w:suppressAutoHyphens w:val="0"/>
        <w:ind w:firstLine="708"/>
        <w:jc w:val="both"/>
        <w:rPr>
          <w:sz w:val="24"/>
          <w:szCs w:val="24"/>
          <w:lang w:eastAsia="es-ES"/>
        </w:rPr>
      </w:pPr>
    </w:p>
    <w:p w:rsidR="004A7974" w:rsidRPr="00B62BF2" w:rsidRDefault="004A7974" w:rsidP="00B62BF2">
      <w:pPr>
        <w:suppressAutoHyphens w:val="0"/>
        <w:ind w:firstLine="708"/>
        <w:jc w:val="both"/>
        <w:rPr>
          <w:sz w:val="24"/>
          <w:szCs w:val="24"/>
          <w:lang w:eastAsia="es-ES"/>
        </w:rPr>
      </w:pPr>
      <w:r w:rsidRPr="00B62BF2">
        <w:rPr>
          <w:sz w:val="24"/>
          <w:szCs w:val="24"/>
          <w:lang w:eastAsia="es-ES"/>
        </w:rPr>
        <w:t>Las aprobaciones de</w:t>
      </w:r>
      <w:r w:rsidR="00B62BF2" w:rsidRPr="00B62BF2">
        <w:rPr>
          <w:sz w:val="24"/>
          <w:szCs w:val="24"/>
          <w:lang w:eastAsia="es-ES"/>
        </w:rPr>
        <w:t xml:space="preserve"> caducos</w:t>
      </w:r>
      <w:r w:rsidRPr="00B62BF2">
        <w:rPr>
          <w:sz w:val="24"/>
          <w:szCs w:val="24"/>
          <w:lang w:eastAsia="es-ES"/>
        </w:rPr>
        <w:t xml:space="preserve"> urgentes que ingresen en ese </w:t>
      </w:r>
      <w:proofErr w:type="gramStart"/>
      <w:r w:rsidRPr="00B62BF2">
        <w:rPr>
          <w:sz w:val="24"/>
          <w:szCs w:val="24"/>
          <w:lang w:eastAsia="es-ES"/>
        </w:rPr>
        <w:t>lapso de tiempo</w:t>
      </w:r>
      <w:proofErr w:type="gramEnd"/>
      <w:r w:rsidRPr="00B62BF2">
        <w:rPr>
          <w:sz w:val="24"/>
          <w:szCs w:val="24"/>
          <w:lang w:eastAsia="es-ES"/>
        </w:rPr>
        <w:t xml:space="preserve">, se estarán tramitando en el transcurso del mismo día. Las urgencias que se reciban </w:t>
      </w:r>
      <w:r w:rsidR="00F8748B">
        <w:rPr>
          <w:sz w:val="24"/>
          <w:szCs w:val="24"/>
          <w:lang w:eastAsia="es-ES"/>
        </w:rPr>
        <w:t xml:space="preserve">posterior a la hora </w:t>
      </w:r>
      <w:proofErr w:type="gramStart"/>
      <w:r w:rsidR="00F8748B">
        <w:rPr>
          <w:sz w:val="24"/>
          <w:szCs w:val="24"/>
          <w:lang w:eastAsia="es-ES"/>
        </w:rPr>
        <w:t>indicada</w:t>
      </w:r>
      <w:r w:rsidRPr="00B62BF2">
        <w:rPr>
          <w:sz w:val="24"/>
          <w:szCs w:val="24"/>
          <w:lang w:eastAsia="es-ES"/>
        </w:rPr>
        <w:t>,</w:t>
      </w:r>
      <w:proofErr w:type="gramEnd"/>
      <w:r w:rsidRPr="00B62BF2">
        <w:rPr>
          <w:sz w:val="24"/>
          <w:szCs w:val="24"/>
          <w:lang w:eastAsia="es-ES"/>
        </w:rPr>
        <w:t xml:space="preserve"> se gestionarán hasta el día siguiente.</w:t>
      </w:r>
    </w:p>
    <w:p w:rsidR="001F6866" w:rsidRPr="004A7974" w:rsidRDefault="001F6866" w:rsidP="00135B4E">
      <w:pPr>
        <w:suppressAutoHyphens w:val="0"/>
        <w:ind w:firstLine="708"/>
        <w:jc w:val="both"/>
        <w:rPr>
          <w:sz w:val="24"/>
          <w:szCs w:val="24"/>
          <w:lang w:eastAsia="es-ES"/>
        </w:rPr>
      </w:pPr>
    </w:p>
    <w:p w:rsidR="005A18B9" w:rsidRPr="00016459" w:rsidRDefault="00135B4E" w:rsidP="00135B4E">
      <w:pPr>
        <w:suppressAutoHyphens w:val="0"/>
        <w:ind w:firstLine="708"/>
        <w:jc w:val="both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En dicho reporte podrán </w:t>
      </w:r>
      <w:r w:rsidR="005A18B9" w:rsidRPr="00016459">
        <w:rPr>
          <w:sz w:val="24"/>
          <w:szCs w:val="24"/>
          <w:lang w:val="es-ES" w:eastAsia="es-ES"/>
        </w:rPr>
        <w:t xml:space="preserve">verificar el estado del </w:t>
      </w:r>
      <w:r>
        <w:rPr>
          <w:sz w:val="24"/>
          <w:szCs w:val="24"/>
          <w:lang w:val="es-ES" w:eastAsia="es-ES"/>
        </w:rPr>
        <w:t>documento, donde pueden visualizar</w:t>
      </w:r>
      <w:r w:rsidR="005A18B9" w:rsidRPr="00016459">
        <w:rPr>
          <w:sz w:val="24"/>
          <w:szCs w:val="24"/>
          <w:lang w:val="es-ES" w:eastAsia="es-ES"/>
        </w:rPr>
        <w:t xml:space="preserve"> los diferentes estados conforme se </w:t>
      </w:r>
      <w:r w:rsidR="00DD7827" w:rsidRPr="00016459">
        <w:rPr>
          <w:sz w:val="24"/>
          <w:szCs w:val="24"/>
          <w:lang w:val="es-ES" w:eastAsia="es-ES"/>
        </w:rPr>
        <w:t>muestra</w:t>
      </w:r>
      <w:r w:rsidR="005A18B9" w:rsidRPr="00016459">
        <w:rPr>
          <w:sz w:val="24"/>
          <w:szCs w:val="24"/>
          <w:lang w:val="es-ES" w:eastAsia="es-ES"/>
        </w:rPr>
        <w:t xml:space="preserve"> a continuación: </w:t>
      </w:r>
    </w:p>
    <w:p w:rsidR="005A18B9" w:rsidRPr="000655A7" w:rsidRDefault="005A18B9" w:rsidP="00016459">
      <w:pPr>
        <w:tabs>
          <w:tab w:val="num" w:pos="1418"/>
        </w:tabs>
        <w:suppressAutoHyphens w:val="0"/>
        <w:ind w:left="1418" w:hanging="709"/>
        <w:jc w:val="both"/>
        <w:rPr>
          <w:sz w:val="24"/>
          <w:szCs w:val="24"/>
          <w:lang w:val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004"/>
        <w:gridCol w:w="3904"/>
      </w:tblGrid>
      <w:tr w:rsidR="005A18B9" w:rsidRPr="006D2A00" w:rsidTr="006D2A00">
        <w:trPr>
          <w:trHeight w:val="278"/>
          <w:jc w:val="center"/>
        </w:trPr>
        <w:tc>
          <w:tcPr>
            <w:tcW w:w="2424" w:type="dxa"/>
          </w:tcPr>
          <w:p w:rsidR="005A18B9" w:rsidRPr="006D2A00" w:rsidRDefault="005A18B9" w:rsidP="006D2A00">
            <w:pPr>
              <w:suppressAutoHyphens w:val="0"/>
              <w:jc w:val="center"/>
              <w:rPr>
                <w:b/>
                <w:sz w:val="24"/>
                <w:szCs w:val="24"/>
                <w:lang w:val="es-CR"/>
              </w:rPr>
            </w:pPr>
            <w:r w:rsidRPr="006D2A00">
              <w:rPr>
                <w:b/>
                <w:sz w:val="24"/>
                <w:szCs w:val="24"/>
                <w:lang w:val="es-CR"/>
              </w:rPr>
              <w:t>Oficina Judicial</w:t>
            </w:r>
          </w:p>
        </w:tc>
        <w:tc>
          <w:tcPr>
            <w:tcW w:w="3004" w:type="dxa"/>
          </w:tcPr>
          <w:p w:rsidR="005A18B9" w:rsidRPr="006D2A00" w:rsidRDefault="005A18B9" w:rsidP="006D2A00">
            <w:pPr>
              <w:suppressAutoHyphens w:val="0"/>
              <w:jc w:val="center"/>
              <w:rPr>
                <w:b/>
                <w:sz w:val="24"/>
                <w:szCs w:val="24"/>
                <w:lang w:val="es-CR"/>
              </w:rPr>
            </w:pPr>
            <w:r w:rsidRPr="006D2A00">
              <w:rPr>
                <w:b/>
                <w:sz w:val="24"/>
                <w:szCs w:val="24"/>
                <w:lang w:val="es-CR"/>
              </w:rPr>
              <w:t>Aprobación Intermedia</w:t>
            </w:r>
          </w:p>
        </w:tc>
        <w:tc>
          <w:tcPr>
            <w:tcW w:w="3904" w:type="dxa"/>
          </w:tcPr>
          <w:p w:rsidR="005A18B9" w:rsidRPr="006D2A00" w:rsidRDefault="005A18B9" w:rsidP="006D2A00">
            <w:pPr>
              <w:suppressAutoHyphens w:val="0"/>
              <w:jc w:val="center"/>
              <w:rPr>
                <w:b/>
                <w:sz w:val="24"/>
                <w:szCs w:val="24"/>
                <w:lang w:val="es-CR"/>
              </w:rPr>
            </w:pPr>
            <w:r w:rsidRPr="006D2A00">
              <w:rPr>
                <w:b/>
                <w:sz w:val="24"/>
                <w:szCs w:val="24"/>
                <w:lang w:val="es-CR"/>
              </w:rPr>
              <w:t>Último estado de aprobación</w:t>
            </w:r>
          </w:p>
        </w:tc>
      </w:tr>
      <w:tr w:rsidR="005A18B9" w:rsidRPr="006D2A00" w:rsidTr="006D2A00">
        <w:trPr>
          <w:trHeight w:val="294"/>
          <w:jc w:val="center"/>
        </w:trPr>
        <w:tc>
          <w:tcPr>
            <w:tcW w:w="2424" w:type="dxa"/>
            <w:vAlign w:val="center"/>
          </w:tcPr>
          <w:p w:rsidR="005A18B9" w:rsidRPr="006D2A00" w:rsidRDefault="005A18B9" w:rsidP="006D2A00">
            <w:pPr>
              <w:suppressAutoHyphens w:val="0"/>
              <w:jc w:val="center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Centro Gestor</w:t>
            </w:r>
          </w:p>
        </w:tc>
        <w:tc>
          <w:tcPr>
            <w:tcW w:w="3004" w:type="dxa"/>
            <w:vAlign w:val="center"/>
          </w:tcPr>
          <w:p w:rsidR="00E12F85" w:rsidRPr="006D2A00" w:rsidRDefault="00E12F85" w:rsidP="006D2A00">
            <w:pPr>
              <w:suppressAutoHyphens w:val="0"/>
              <w:jc w:val="center"/>
              <w:rPr>
                <w:sz w:val="24"/>
                <w:szCs w:val="24"/>
                <w:lang w:val="es-CR"/>
              </w:rPr>
            </w:pPr>
          </w:p>
          <w:p w:rsidR="005A18B9" w:rsidRPr="006D2A00" w:rsidRDefault="005A18B9" w:rsidP="006D2A00">
            <w:pPr>
              <w:suppressAutoHyphens w:val="0"/>
              <w:jc w:val="center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En Confección</w:t>
            </w:r>
          </w:p>
          <w:p w:rsidR="005A18B9" w:rsidRPr="006D2A00" w:rsidRDefault="005A18B9" w:rsidP="006D2A00">
            <w:pPr>
              <w:suppressAutoHyphens w:val="0"/>
              <w:jc w:val="center"/>
              <w:rPr>
                <w:sz w:val="24"/>
                <w:szCs w:val="24"/>
                <w:lang w:val="es-CR"/>
              </w:rPr>
            </w:pPr>
          </w:p>
        </w:tc>
        <w:tc>
          <w:tcPr>
            <w:tcW w:w="3904" w:type="dxa"/>
            <w:vAlign w:val="center"/>
          </w:tcPr>
          <w:p w:rsidR="005A18B9" w:rsidRPr="006D2A00" w:rsidRDefault="005A18B9" w:rsidP="006D2A00">
            <w:pPr>
              <w:suppressAutoHyphens w:val="0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Autorizado por Encargado</w:t>
            </w:r>
          </w:p>
        </w:tc>
      </w:tr>
      <w:tr w:rsidR="005A18B9" w:rsidRPr="006D2A00" w:rsidTr="006D2A00">
        <w:trPr>
          <w:trHeight w:val="294"/>
          <w:jc w:val="center"/>
        </w:trPr>
        <w:tc>
          <w:tcPr>
            <w:tcW w:w="2424" w:type="dxa"/>
            <w:vAlign w:val="center"/>
          </w:tcPr>
          <w:p w:rsidR="005A18B9" w:rsidRPr="006D2A00" w:rsidRDefault="005A18B9" w:rsidP="006D2A00">
            <w:pPr>
              <w:suppressAutoHyphens w:val="0"/>
              <w:jc w:val="center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Macroproceso Financiero Contable</w:t>
            </w:r>
          </w:p>
        </w:tc>
        <w:tc>
          <w:tcPr>
            <w:tcW w:w="3004" w:type="dxa"/>
            <w:vAlign w:val="center"/>
          </w:tcPr>
          <w:p w:rsidR="005A18B9" w:rsidRPr="006D2A00" w:rsidRDefault="005A18B9" w:rsidP="006D2A00">
            <w:pPr>
              <w:numPr>
                <w:ilvl w:val="0"/>
                <w:numId w:val="15"/>
              </w:numPr>
              <w:tabs>
                <w:tab w:val="clear" w:pos="780"/>
                <w:tab w:val="num" w:pos="125"/>
              </w:tabs>
              <w:suppressAutoHyphens w:val="0"/>
              <w:ind w:left="510" w:hanging="510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Autorizado por Encargado</w:t>
            </w:r>
          </w:p>
          <w:p w:rsidR="005A18B9" w:rsidRPr="006D2A00" w:rsidRDefault="005A18B9" w:rsidP="006D2A00">
            <w:pPr>
              <w:suppressAutoHyphens w:val="0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(únicamente para el caso de caducos de reserva)</w:t>
            </w:r>
          </w:p>
        </w:tc>
        <w:tc>
          <w:tcPr>
            <w:tcW w:w="3904" w:type="dxa"/>
            <w:vAlign w:val="center"/>
          </w:tcPr>
          <w:p w:rsidR="005A18B9" w:rsidRPr="006D2A00" w:rsidRDefault="005A18B9" w:rsidP="006D2A00">
            <w:pPr>
              <w:suppressAutoHyphens w:val="0"/>
              <w:rPr>
                <w:sz w:val="24"/>
                <w:szCs w:val="24"/>
                <w:lang w:val="es-CR"/>
              </w:rPr>
            </w:pPr>
            <w:r w:rsidRPr="006D2A00">
              <w:rPr>
                <w:sz w:val="24"/>
                <w:szCs w:val="24"/>
                <w:lang w:val="es-CR"/>
              </w:rPr>
              <w:t>Aprobado por Financiero</w:t>
            </w:r>
          </w:p>
        </w:tc>
      </w:tr>
    </w:tbl>
    <w:p w:rsidR="00EF3E92" w:rsidRDefault="00EF3E92" w:rsidP="00950A9A">
      <w:pPr>
        <w:jc w:val="both"/>
        <w:rPr>
          <w:sz w:val="24"/>
          <w:szCs w:val="24"/>
          <w:lang w:val="es-CR"/>
        </w:rPr>
      </w:pPr>
    </w:p>
    <w:p w:rsidR="00FA708F" w:rsidRDefault="00135B4E" w:rsidP="00135B4E">
      <w:pPr>
        <w:pStyle w:val="Textoindependiente31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      </w:t>
      </w:r>
    </w:p>
    <w:p w:rsidR="00FA708F" w:rsidRPr="00FA708F" w:rsidRDefault="00FA708F" w:rsidP="00FA708F">
      <w:pPr>
        <w:ind w:firstLine="708"/>
        <w:jc w:val="both"/>
        <w:rPr>
          <w:sz w:val="24"/>
          <w:szCs w:val="24"/>
          <w:lang w:eastAsia="es-ES"/>
        </w:rPr>
      </w:pPr>
      <w:r w:rsidRPr="00FA708F">
        <w:rPr>
          <w:sz w:val="24"/>
          <w:szCs w:val="24"/>
          <w:lang w:eastAsia="es-ES"/>
        </w:rPr>
        <w:t>Todos los encargados de los Centros de Gestores, Rubros y Programas deben revisar mensualmente en SIGA en el “Reporte de</w:t>
      </w:r>
      <w:r>
        <w:rPr>
          <w:sz w:val="24"/>
          <w:szCs w:val="24"/>
          <w:lang w:eastAsia="es-ES"/>
        </w:rPr>
        <w:t xml:space="preserve"> Listado de Caducos</w:t>
      </w:r>
      <w:r w:rsidRPr="00FA708F">
        <w:rPr>
          <w:sz w:val="24"/>
          <w:szCs w:val="24"/>
          <w:lang w:eastAsia="es-ES"/>
        </w:rPr>
        <w:t xml:space="preserve">”, que no existan trámites inconclusos, es decir, </w:t>
      </w:r>
      <w:proofErr w:type="gramStart"/>
      <w:r w:rsidRPr="00FA708F">
        <w:rPr>
          <w:sz w:val="24"/>
          <w:szCs w:val="24"/>
          <w:lang w:eastAsia="es-ES"/>
        </w:rPr>
        <w:t>que</w:t>
      </w:r>
      <w:proofErr w:type="gramEnd"/>
      <w:r w:rsidRPr="00FA708F">
        <w:rPr>
          <w:sz w:val="24"/>
          <w:szCs w:val="24"/>
          <w:lang w:eastAsia="es-ES"/>
        </w:rPr>
        <w:t xml:space="preserve"> si</w:t>
      </w:r>
      <w:r>
        <w:rPr>
          <w:sz w:val="24"/>
          <w:szCs w:val="24"/>
          <w:lang w:eastAsia="es-ES"/>
        </w:rPr>
        <w:t xml:space="preserve"> no tienen el estado “Aprobado por Financiero</w:t>
      </w:r>
      <w:r w:rsidRPr="00FA708F">
        <w:rPr>
          <w:sz w:val="24"/>
          <w:szCs w:val="24"/>
          <w:lang w:eastAsia="es-ES"/>
        </w:rPr>
        <w:t>”, deben ser gestionadas o anuladas según corresponda.</w:t>
      </w:r>
    </w:p>
    <w:p w:rsidR="00FA708F" w:rsidRDefault="00FA708F" w:rsidP="00135B4E">
      <w:pPr>
        <w:pStyle w:val="Textoindependiente31"/>
        <w:rPr>
          <w:rFonts w:ascii="Tahoma" w:hAnsi="Tahoma" w:cs="Tahoma"/>
          <w:b w:val="0"/>
          <w:bCs/>
          <w:sz w:val="20"/>
        </w:rPr>
      </w:pPr>
    </w:p>
    <w:p w:rsidR="00135B4E" w:rsidRPr="00135B4E" w:rsidRDefault="00135B4E" w:rsidP="00FA708F">
      <w:pPr>
        <w:pStyle w:val="Textoindependiente31"/>
        <w:ind w:firstLine="708"/>
        <w:rPr>
          <w:rFonts w:ascii="Times New Roman" w:hAnsi="Times New Roman"/>
          <w:b w:val="0"/>
          <w:szCs w:val="24"/>
          <w:lang w:val="es-ES" w:eastAsia="es-ES"/>
        </w:rPr>
      </w:pPr>
      <w:r>
        <w:rPr>
          <w:rFonts w:ascii="Tahoma" w:hAnsi="Tahoma" w:cs="Tahoma"/>
          <w:b w:val="0"/>
          <w:bCs/>
          <w:sz w:val="20"/>
        </w:rPr>
        <w:t xml:space="preserve"> </w:t>
      </w:r>
      <w:r w:rsidRPr="00135B4E">
        <w:rPr>
          <w:rFonts w:ascii="Times New Roman" w:hAnsi="Times New Roman"/>
          <w:b w:val="0"/>
          <w:szCs w:val="24"/>
          <w:lang w:val="es-ES" w:eastAsia="es-ES"/>
        </w:rPr>
        <w:t>Cualquier consulta adicional, se tendrá a disposic</w:t>
      </w:r>
      <w:r>
        <w:rPr>
          <w:rFonts w:ascii="Times New Roman" w:hAnsi="Times New Roman"/>
          <w:b w:val="0"/>
          <w:szCs w:val="24"/>
          <w:lang w:val="es-ES" w:eastAsia="es-ES"/>
        </w:rPr>
        <w:t xml:space="preserve">ión la extensión telefónica </w:t>
      </w:r>
      <w:r w:rsidR="00B62BF2">
        <w:rPr>
          <w:rFonts w:ascii="Times New Roman" w:hAnsi="Times New Roman"/>
          <w:b w:val="0"/>
          <w:szCs w:val="24"/>
          <w:lang w:val="es-ES" w:eastAsia="es-ES"/>
        </w:rPr>
        <w:t>01</w:t>
      </w:r>
      <w:r>
        <w:rPr>
          <w:rFonts w:ascii="Times New Roman" w:hAnsi="Times New Roman"/>
          <w:b w:val="0"/>
          <w:szCs w:val="24"/>
          <w:lang w:val="es-ES" w:eastAsia="es-ES"/>
        </w:rPr>
        <w:t xml:space="preserve">4069, con </w:t>
      </w:r>
      <w:r w:rsidR="00B1165A">
        <w:rPr>
          <w:rFonts w:ascii="Times New Roman" w:hAnsi="Times New Roman"/>
          <w:b w:val="0"/>
          <w:szCs w:val="24"/>
          <w:lang w:val="es-ES" w:eastAsia="es-ES"/>
        </w:rPr>
        <w:t>Jorge Robles Zúñiga</w:t>
      </w:r>
      <w:r w:rsidRPr="00135B4E">
        <w:rPr>
          <w:rFonts w:ascii="Times New Roman" w:hAnsi="Times New Roman"/>
          <w:b w:val="0"/>
          <w:szCs w:val="24"/>
          <w:lang w:val="es-ES" w:eastAsia="es-ES"/>
        </w:rPr>
        <w:t xml:space="preserve">, </w:t>
      </w:r>
      <w:r>
        <w:rPr>
          <w:rFonts w:ascii="Times New Roman" w:hAnsi="Times New Roman"/>
          <w:b w:val="0"/>
          <w:szCs w:val="24"/>
          <w:lang w:val="es-ES" w:eastAsia="es-ES"/>
        </w:rPr>
        <w:t>P</w:t>
      </w:r>
      <w:r w:rsidRPr="00135B4E">
        <w:rPr>
          <w:rFonts w:ascii="Times New Roman" w:hAnsi="Times New Roman"/>
          <w:b w:val="0"/>
          <w:szCs w:val="24"/>
          <w:lang w:val="es-ES" w:eastAsia="es-ES"/>
        </w:rPr>
        <w:t>rofesional encargada del trámite.</w:t>
      </w:r>
    </w:p>
    <w:p w:rsidR="0091330F" w:rsidRPr="00135B4E" w:rsidRDefault="0091330F" w:rsidP="00274D54">
      <w:pPr>
        <w:ind w:firstLine="708"/>
        <w:jc w:val="both"/>
        <w:rPr>
          <w:sz w:val="24"/>
          <w:szCs w:val="24"/>
          <w:lang w:val="es-ES" w:eastAsia="es-ES"/>
        </w:rPr>
      </w:pPr>
    </w:p>
    <w:p w:rsidR="00DD7827" w:rsidRDefault="0091330F" w:rsidP="00950A9A">
      <w:pPr>
        <w:jc w:val="both"/>
        <w:rPr>
          <w:lang w:val="es-CR"/>
        </w:rPr>
      </w:pPr>
      <w:r>
        <w:rPr>
          <w:lang w:val="es-CR"/>
        </w:rPr>
        <w:t xml:space="preserve">cc: </w:t>
      </w:r>
      <w:r w:rsidR="00DD7827">
        <w:rPr>
          <w:lang w:val="es-CR"/>
        </w:rPr>
        <w:tab/>
        <w:t>Dirección Ejecutiva</w:t>
      </w:r>
    </w:p>
    <w:p w:rsidR="00843252" w:rsidRPr="00950A9A" w:rsidRDefault="0091330F" w:rsidP="00DD7827">
      <w:pPr>
        <w:ind w:firstLine="708"/>
        <w:jc w:val="both"/>
        <w:rPr>
          <w:sz w:val="24"/>
          <w:szCs w:val="24"/>
          <w:lang w:val="es-CR"/>
        </w:rPr>
      </w:pPr>
      <w:r>
        <w:rPr>
          <w:lang w:val="es-CR"/>
        </w:rPr>
        <w:t>Archivo</w:t>
      </w:r>
      <w:r w:rsidR="00160A23" w:rsidRPr="000655A7">
        <w:rPr>
          <w:lang w:val="es-CR"/>
        </w:rPr>
        <w:t xml:space="preserve"> </w:t>
      </w:r>
    </w:p>
    <w:sectPr w:rsidR="00843252" w:rsidRPr="00950A9A" w:rsidSect="00515DF7">
      <w:headerReference w:type="default" r:id="rId8"/>
      <w:footerReference w:type="default" r:id="rId9"/>
      <w:footnotePr>
        <w:pos w:val="beneathText"/>
      </w:footnotePr>
      <w:pgSz w:w="12240" w:h="15840"/>
      <w:pgMar w:top="426" w:right="1183" w:bottom="1134" w:left="1276" w:header="426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3B5" w:rsidRDefault="001603B5">
      <w:r>
        <w:separator/>
      </w:r>
    </w:p>
  </w:endnote>
  <w:endnote w:type="continuationSeparator" w:id="0">
    <w:p w:rsidR="001603B5" w:rsidRDefault="0016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8F" w:rsidRDefault="00FA708F" w:rsidP="002C623C">
    <w:pPr>
      <w:pStyle w:val="Piedepgina"/>
      <w:pBdr>
        <w:bottom w:val="single" w:sz="4" w:space="1" w:color="000000"/>
      </w:pBdr>
      <w:shd w:val="clear" w:color="auto" w:fill="CCCCCC"/>
    </w:pPr>
  </w:p>
  <w:p w:rsidR="00FA708F" w:rsidRDefault="00FA708F">
    <w:pPr>
      <w:pStyle w:val="Piedepgina"/>
      <w:pBdr>
        <w:bottom w:val="single" w:sz="4" w:space="1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3B5" w:rsidRDefault="001603B5">
      <w:r>
        <w:separator/>
      </w:r>
    </w:p>
  </w:footnote>
  <w:footnote w:type="continuationSeparator" w:id="0">
    <w:p w:rsidR="001603B5" w:rsidRDefault="0016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8F" w:rsidRDefault="00FA708F">
    <w:pPr>
      <w:ind w:right="51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PODER JUDICIAL </w:t>
    </w:r>
    <w:r w:rsidR="00E87E1D">
      <w:rPr>
        <w:rFonts w:ascii="Arial Narrow" w:hAnsi="Arial Narrow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.8pt;height:43.8pt" filled="t">
          <v:fill color2="black"/>
          <v:imagedata r:id="rId1" o:title=""/>
        </v:shape>
      </w:pict>
    </w:r>
    <w:r>
      <w:rPr>
        <w:rFonts w:ascii="Arial Narrow" w:hAnsi="Arial Narrow"/>
        <w:b/>
      </w:rPr>
      <w:t>DIRECCIÓN EJECUTIVA</w:t>
    </w:r>
  </w:p>
  <w:p w:rsidR="00FA708F" w:rsidRPr="00843252" w:rsidRDefault="00FA708F" w:rsidP="00843252">
    <w:pPr>
      <w:ind w:right="51"/>
      <w:rPr>
        <w:rFonts w:ascii="Arial" w:hAnsi="Arial" w:cs="Arial"/>
        <w:b/>
        <w:sz w:val="18"/>
        <w:szCs w:val="18"/>
      </w:rPr>
    </w:pPr>
    <w:r w:rsidRPr="00843252">
      <w:rPr>
        <w:rFonts w:ascii="Arial" w:hAnsi="Arial" w:cs="Arial"/>
        <w:b/>
        <w:sz w:val="18"/>
        <w:szCs w:val="18"/>
      </w:rPr>
      <w:t xml:space="preserve">Tel.  2295-3354                          </w:t>
    </w:r>
    <w:proofErr w:type="gramStart"/>
    <w:r w:rsidRPr="00843252">
      <w:rPr>
        <w:rFonts w:ascii="Arial" w:hAnsi="Arial" w:cs="Arial"/>
        <w:b/>
        <w:sz w:val="18"/>
        <w:szCs w:val="18"/>
      </w:rPr>
      <w:t>MACRO</w:t>
    </w:r>
    <w:r>
      <w:rPr>
        <w:rFonts w:ascii="Arial" w:hAnsi="Arial" w:cs="Arial"/>
        <w:b/>
        <w:sz w:val="18"/>
        <w:szCs w:val="18"/>
      </w:rPr>
      <w:t>-</w:t>
    </w:r>
    <w:r w:rsidRPr="00843252">
      <w:rPr>
        <w:rFonts w:ascii="Arial" w:hAnsi="Arial" w:cs="Arial"/>
        <w:b/>
        <w:sz w:val="18"/>
        <w:szCs w:val="18"/>
      </w:rPr>
      <w:t>PROCESO</w:t>
    </w:r>
    <w:proofErr w:type="gramEnd"/>
    <w:r w:rsidRPr="00843252">
      <w:rPr>
        <w:rFonts w:ascii="Arial" w:hAnsi="Arial" w:cs="Arial"/>
        <w:b/>
        <w:sz w:val="18"/>
        <w:szCs w:val="18"/>
      </w:rPr>
      <w:t xml:space="preserve"> FINANCIERO CONTABLE         San José, Costa Rica     </w:t>
    </w:r>
    <w:r>
      <w:rPr>
        <w:rFonts w:ascii="Arial" w:hAnsi="Arial" w:cs="Arial"/>
        <w:b/>
        <w:sz w:val="18"/>
        <w:szCs w:val="18"/>
      </w:rPr>
      <w:t xml:space="preserve">            </w:t>
    </w:r>
    <w:r w:rsidRPr="00843252">
      <w:rPr>
        <w:rFonts w:ascii="Arial" w:hAnsi="Arial" w:cs="Arial"/>
        <w:b/>
        <w:sz w:val="18"/>
        <w:szCs w:val="18"/>
      </w:rPr>
      <w:t xml:space="preserve"> Fax.2295-3356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0"/>
    <w:lvl w:ilvl="0">
      <w:start w:val="2"/>
      <w:numFmt w:val="upperRoman"/>
      <w:lvlText w:val="%1-"/>
      <w:lvlJc w:val="left"/>
      <w:pPr>
        <w:tabs>
          <w:tab w:val="num" w:pos="2136"/>
        </w:tabs>
        <w:ind w:left="2136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57408E"/>
    <w:multiLevelType w:val="hybridMultilevel"/>
    <w:tmpl w:val="ABCC4EAE"/>
    <w:lvl w:ilvl="0" w:tplc="4EA21CE4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ED4581"/>
    <w:multiLevelType w:val="hybridMultilevel"/>
    <w:tmpl w:val="B734F3C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53541D"/>
    <w:multiLevelType w:val="singleLevel"/>
    <w:tmpl w:val="4E988074"/>
    <w:lvl w:ilvl="0">
      <w:start w:val="1"/>
      <w:numFmt w:val="decimal"/>
      <w:lvlText w:val="%1)"/>
      <w:legacy w:legacy="1" w:legacySpace="0" w:legacyIndent="360"/>
      <w:lvlJc w:val="left"/>
      <w:rPr>
        <w:rFonts w:ascii="Book Antiqua" w:hAnsi="Book Antiqua" w:hint="default"/>
      </w:rPr>
    </w:lvl>
  </w:abstractNum>
  <w:abstractNum w:abstractNumId="6" w15:restartNumberingAfterBreak="0">
    <w:nsid w:val="05524428"/>
    <w:multiLevelType w:val="hybridMultilevel"/>
    <w:tmpl w:val="9564BA0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171AE"/>
    <w:multiLevelType w:val="multilevel"/>
    <w:tmpl w:val="00367E0A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9"/>
        </w:tabs>
        <w:ind w:left="3249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7"/>
        </w:tabs>
        <w:ind w:left="395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0C345B84"/>
    <w:multiLevelType w:val="hybridMultilevel"/>
    <w:tmpl w:val="2FE26276"/>
    <w:lvl w:ilvl="0" w:tplc="D8E2D6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C39E2"/>
    <w:multiLevelType w:val="hybridMultilevel"/>
    <w:tmpl w:val="8D8490F8"/>
    <w:lvl w:ilvl="0" w:tplc="543C1332">
      <w:start w:val="1"/>
      <w:numFmt w:val="lowerLetter"/>
      <w:lvlText w:val="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26B80F7E"/>
    <w:multiLevelType w:val="hybridMultilevel"/>
    <w:tmpl w:val="0FDE0406"/>
    <w:lvl w:ilvl="0" w:tplc="8BB62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0A2FAE"/>
    <w:multiLevelType w:val="multilevel"/>
    <w:tmpl w:val="A8A8D25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395F356F"/>
    <w:multiLevelType w:val="hybridMultilevel"/>
    <w:tmpl w:val="3E326D76"/>
    <w:lvl w:ilvl="0" w:tplc="B7F6D77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28AC"/>
    <w:multiLevelType w:val="multilevel"/>
    <w:tmpl w:val="E7DA3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440"/>
      </w:pPr>
      <w:rPr>
        <w:rFonts w:hint="default"/>
      </w:rPr>
    </w:lvl>
  </w:abstractNum>
  <w:abstractNum w:abstractNumId="14" w15:restartNumberingAfterBreak="0">
    <w:nsid w:val="49672F49"/>
    <w:multiLevelType w:val="hybridMultilevel"/>
    <w:tmpl w:val="62FE25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B74CC"/>
    <w:multiLevelType w:val="hybridMultilevel"/>
    <w:tmpl w:val="D1C6214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4AEA204">
      <w:start w:val="1"/>
      <w:numFmt w:val="upperLetter"/>
      <w:lvlText w:val="%2."/>
      <w:lvlJc w:val="left"/>
      <w:pPr>
        <w:tabs>
          <w:tab w:val="num" w:pos="1474"/>
        </w:tabs>
        <w:ind w:left="1440" w:hanging="22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A447A"/>
    <w:multiLevelType w:val="hybridMultilevel"/>
    <w:tmpl w:val="FBB874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47152F"/>
    <w:multiLevelType w:val="hybridMultilevel"/>
    <w:tmpl w:val="E2AA20E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997A47"/>
    <w:multiLevelType w:val="hybridMultilevel"/>
    <w:tmpl w:val="BB4E1B50"/>
    <w:lvl w:ilvl="0" w:tplc="543C1332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31577F"/>
    <w:multiLevelType w:val="multilevel"/>
    <w:tmpl w:val="A8C4D4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  <w:i w:val="0"/>
      </w:rPr>
    </w:lvl>
  </w:abstractNum>
  <w:abstractNum w:abstractNumId="20" w15:restartNumberingAfterBreak="0">
    <w:nsid w:val="6C1819C9"/>
    <w:multiLevelType w:val="multilevel"/>
    <w:tmpl w:val="CB143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1" w15:restartNumberingAfterBreak="0">
    <w:nsid w:val="6F95725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10F188B"/>
    <w:multiLevelType w:val="multilevel"/>
    <w:tmpl w:val="A8C4D4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  <w:i w:val="0"/>
      </w:rPr>
    </w:lvl>
  </w:abstractNum>
  <w:abstractNum w:abstractNumId="23" w15:restartNumberingAfterBreak="0">
    <w:nsid w:val="79EC1D2E"/>
    <w:multiLevelType w:val="hybridMultilevel"/>
    <w:tmpl w:val="7610ADE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7"/>
  </w:num>
  <w:num w:numId="7">
    <w:abstractNumId w:val="23"/>
  </w:num>
  <w:num w:numId="8">
    <w:abstractNumId w:val="14"/>
  </w:num>
  <w:num w:numId="9">
    <w:abstractNumId w:val="8"/>
  </w:num>
  <w:num w:numId="10">
    <w:abstractNumId w:val="16"/>
  </w:num>
  <w:num w:numId="11">
    <w:abstractNumId w:val="18"/>
  </w:num>
  <w:num w:numId="12">
    <w:abstractNumId w:val="9"/>
  </w:num>
  <w:num w:numId="13">
    <w:abstractNumId w:val="10"/>
  </w:num>
  <w:num w:numId="14">
    <w:abstractNumId w:val="12"/>
  </w:num>
  <w:num w:numId="15">
    <w:abstractNumId w:val="3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22"/>
  </w:num>
  <w:num w:numId="20">
    <w:abstractNumId w:val="19"/>
  </w:num>
  <w:num w:numId="21">
    <w:abstractNumId w:val="21"/>
  </w:num>
  <w:num w:numId="22">
    <w:abstractNumId w:val="20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09D"/>
    <w:rsid w:val="00004BB3"/>
    <w:rsid w:val="00006B26"/>
    <w:rsid w:val="00010956"/>
    <w:rsid w:val="00016459"/>
    <w:rsid w:val="00025E9D"/>
    <w:rsid w:val="0003366C"/>
    <w:rsid w:val="00036312"/>
    <w:rsid w:val="000366C9"/>
    <w:rsid w:val="0004056D"/>
    <w:rsid w:val="000408F8"/>
    <w:rsid w:val="0004455E"/>
    <w:rsid w:val="00046FF2"/>
    <w:rsid w:val="00056157"/>
    <w:rsid w:val="000655A7"/>
    <w:rsid w:val="00065E1C"/>
    <w:rsid w:val="00083651"/>
    <w:rsid w:val="000856CD"/>
    <w:rsid w:val="00092CFF"/>
    <w:rsid w:val="000941AF"/>
    <w:rsid w:val="000943A6"/>
    <w:rsid w:val="000954AC"/>
    <w:rsid w:val="000955CD"/>
    <w:rsid w:val="00097C27"/>
    <w:rsid w:val="000A239F"/>
    <w:rsid w:val="000A3195"/>
    <w:rsid w:val="000A3C1C"/>
    <w:rsid w:val="000B3752"/>
    <w:rsid w:val="000C6FE4"/>
    <w:rsid w:val="000E1857"/>
    <w:rsid w:val="000E7048"/>
    <w:rsid w:val="00110F0C"/>
    <w:rsid w:val="0011184D"/>
    <w:rsid w:val="00112E15"/>
    <w:rsid w:val="00115B13"/>
    <w:rsid w:val="001242A2"/>
    <w:rsid w:val="00124E75"/>
    <w:rsid w:val="00133F70"/>
    <w:rsid w:val="0013503E"/>
    <w:rsid w:val="00135B4E"/>
    <w:rsid w:val="00135D73"/>
    <w:rsid w:val="00147AD0"/>
    <w:rsid w:val="001603B5"/>
    <w:rsid w:val="00160A23"/>
    <w:rsid w:val="00165989"/>
    <w:rsid w:val="00170297"/>
    <w:rsid w:val="00173182"/>
    <w:rsid w:val="001957CB"/>
    <w:rsid w:val="001B68F6"/>
    <w:rsid w:val="001D3588"/>
    <w:rsid w:val="001D6B81"/>
    <w:rsid w:val="001D70E5"/>
    <w:rsid w:val="001E2630"/>
    <w:rsid w:val="001E4287"/>
    <w:rsid w:val="001F119E"/>
    <w:rsid w:val="001F3D05"/>
    <w:rsid w:val="001F4349"/>
    <w:rsid w:val="001F6866"/>
    <w:rsid w:val="001F7B14"/>
    <w:rsid w:val="0020309D"/>
    <w:rsid w:val="0020604A"/>
    <w:rsid w:val="00223B2A"/>
    <w:rsid w:val="00225E56"/>
    <w:rsid w:val="00243696"/>
    <w:rsid w:val="00243799"/>
    <w:rsid w:val="00255E89"/>
    <w:rsid w:val="00274D54"/>
    <w:rsid w:val="00290D66"/>
    <w:rsid w:val="00294FA1"/>
    <w:rsid w:val="002B3D1F"/>
    <w:rsid w:val="002C18B0"/>
    <w:rsid w:val="002C623C"/>
    <w:rsid w:val="002D2A14"/>
    <w:rsid w:val="002E322E"/>
    <w:rsid w:val="002F0753"/>
    <w:rsid w:val="002F1C6F"/>
    <w:rsid w:val="00305D4C"/>
    <w:rsid w:val="00307488"/>
    <w:rsid w:val="00312F23"/>
    <w:rsid w:val="00317C13"/>
    <w:rsid w:val="00322CDE"/>
    <w:rsid w:val="00345E40"/>
    <w:rsid w:val="0036552B"/>
    <w:rsid w:val="0037638B"/>
    <w:rsid w:val="003802F6"/>
    <w:rsid w:val="00382316"/>
    <w:rsid w:val="00384323"/>
    <w:rsid w:val="00391193"/>
    <w:rsid w:val="003918D8"/>
    <w:rsid w:val="003934E8"/>
    <w:rsid w:val="00393AD3"/>
    <w:rsid w:val="003A03C4"/>
    <w:rsid w:val="003A5B7D"/>
    <w:rsid w:val="003B0B56"/>
    <w:rsid w:val="003B44B2"/>
    <w:rsid w:val="003C2593"/>
    <w:rsid w:val="003C54A6"/>
    <w:rsid w:val="003C6E7E"/>
    <w:rsid w:val="003C75D5"/>
    <w:rsid w:val="003D052F"/>
    <w:rsid w:val="003D1003"/>
    <w:rsid w:val="003E2592"/>
    <w:rsid w:val="003E33DE"/>
    <w:rsid w:val="003F42EF"/>
    <w:rsid w:val="003F54AC"/>
    <w:rsid w:val="00403850"/>
    <w:rsid w:val="00404EF8"/>
    <w:rsid w:val="00405EA2"/>
    <w:rsid w:val="0041350D"/>
    <w:rsid w:val="00427100"/>
    <w:rsid w:val="00430212"/>
    <w:rsid w:val="00430B29"/>
    <w:rsid w:val="00436A56"/>
    <w:rsid w:val="00442B02"/>
    <w:rsid w:val="00455962"/>
    <w:rsid w:val="00473CBA"/>
    <w:rsid w:val="00475B68"/>
    <w:rsid w:val="00484FB2"/>
    <w:rsid w:val="004A7974"/>
    <w:rsid w:val="004B41D8"/>
    <w:rsid w:val="004B4EF4"/>
    <w:rsid w:val="004C420E"/>
    <w:rsid w:val="004C688A"/>
    <w:rsid w:val="004D2624"/>
    <w:rsid w:val="004D55E9"/>
    <w:rsid w:val="004E712E"/>
    <w:rsid w:val="004F1EBA"/>
    <w:rsid w:val="00501186"/>
    <w:rsid w:val="00505DC4"/>
    <w:rsid w:val="00507D5C"/>
    <w:rsid w:val="00515DF7"/>
    <w:rsid w:val="005202F4"/>
    <w:rsid w:val="00526F9B"/>
    <w:rsid w:val="0053173E"/>
    <w:rsid w:val="005319C2"/>
    <w:rsid w:val="00533021"/>
    <w:rsid w:val="00543E08"/>
    <w:rsid w:val="00544149"/>
    <w:rsid w:val="00551704"/>
    <w:rsid w:val="005530B7"/>
    <w:rsid w:val="0055570D"/>
    <w:rsid w:val="00561D1C"/>
    <w:rsid w:val="00564CD3"/>
    <w:rsid w:val="00564E20"/>
    <w:rsid w:val="00567BBD"/>
    <w:rsid w:val="005734B0"/>
    <w:rsid w:val="00582A75"/>
    <w:rsid w:val="005939F3"/>
    <w:rsid w:val="005977D6"/>
    <w:rsid w:val="005A18B9"/>
    <w:rsid w:val="005A3726"/>
    <w:rsid w:val="005B046F"/>
    <w:rsid w:val="005B0FF9"/>
    <w:rsid w:val="005B399A"/>
    <w:rsid w:val="005B59C7"/>
    <w:rsid w:val="005C6976"/>
    <w:rsid w:val="005D1B58"/>
    <w:rsid w:val="005D69CF"/>
    <w:rsid w:val="005E48AE"/>
    <w:rsid w:val="005F6C52"/>
    <w:rsid w:val="005F6DBC"/>
    <w:rsid w:val="0060655C"/>
    <w:rsid w:val="0060761D"/>
    <w:rsid w:val="006179EF"/>
    <w:rsid w:val="00617F7D"/>
    <w:rsid w:val="006202B7"/>
    <w:rsid w:val="00620970"/>
    <w:rsid w:val="00623819"/>
    <w:rsid w:val="006370BB"/>
    <w:rsid w:val="00651BAD"/>
    <w:rsid w:val="0065327F"/>
    <w:rsid w:val="0066040B"/>
    <w:rsid w:val="00672BAF"/>
    <w:rsid w:val="0067521E"/>
    <w:rsid w:val="00686586"/>
    <w:rsid w:val="00687FFB"/>
    <w:rsid w:val="006B0F71"/>
    <w:rsid w:val="006B6E8F"/>
    <w:rsid w:val="006B7B9F"/>
    <w:rsid w:val="006C241E"/>
    <w:rsid w:val="006C527E"/>
    <w:rsid w:val="006D131E"/>
    <w:rsid w:val="006D1E3A"/>
    <w:rsid w:val="006D2A00"/>
    <w:rsid w:val="006D6BFD"/>
    <w:rsid w:val="006E2018"/>
    <w:rsid w:val="006E4250"/>
    <w:rsid w:val="00707BAF"/>
    <w:rsid w:val="00710B36"/>
    <w:rsid w:val="00717384"/>
    <w:rsid w:val="007277F8"/>
    <w:rsid w:val="0073145D"/>
    <w:rsid w:val="00734FFD"/>
    <w:rsid w:val="00743944"/>
    <w:rsid w:val="007470FE"/>
    <w:rsid w:val="0075709C"/>
    <w:rsid w:val="007616A4"/>
    <w:rsid w:val="00764D30"/>
    <w:rsid w:val="00766F4A"/>
    <w:rsid w:val="007742E1"/>
    <w:rsid w:val="00782207"/>
    <w:rsid w:val="00790D7A"/>
    <w:rsid w:val="00791271"/>
    <w:rsid w:val="0079345B"/>
    <w:rsid w:val="0079628A"/>
    <w:rsid w:val="007A1B70"/>
    <w:rsid w:val="007B64FD"/>
    <w:rsid w:val="007C4C97"/>
    <w:rsid w:val="007C6671"/>
    <w:rsid w:val="007D190A"/>
    <w:rsid w:val="007D590A"/>
    <w:rsid w:val="007D6648"/>
    <w:rsid w:val="007E0123"/>
    <w:rsid w:val="007E07F1"/>
    <w:rsid w:val="007F1B00"/>
    <w:rsid w:val="00813421"/>
    <w:rsid w:val="008357FC"/>
    <w:rsid w:val="008410ED"/>
    <w:rsid w:val="0084258A"/>
    <w:rsid w:val="0084297C"/>
    <w:rsid w:val="00843252"/>
    <w:rsid w:val="008615A4"/>
    <w:rsid w:val="00867AC9"/>
    <w:rsid w:val="00875C02"/>
    <w:rsid w:val="00886CDF"/>
    <w:rsid w:val="008A2924"/>
    <w:rsid w:val="008A3BCB"/>
    <w:rsid w:val="008A5F33"/>
    <w:rsid w:val="008A6EE4"/>
    <w:rsid w:val="008B2842"/>
    <w:rsid w:val="008B3A77"/>
    <w:rsid w:val="008C5B92"/>
    <w:rsid w:val="008C6C1D"/>
    <w:rsid w:val="008D4617"/>
    <w:rsid w:val="008D6B81"/>
    <w:rsid w:val="008F1963"/>
    <w:rsid w:val="00901C4D"/>
    <w:rsid w:val="00910CBF"/>
    <w:rsid w:val="0091232B"/>
    <w:rsid w:val="0091330F"/>
    <w:rsid w:val="009264E4"/>
    <w:rsid w:val="009277B3"/>
    <w:rsid w:val="00927D5D"/>
    <w:rsid w:val="00931403"/>
    <w:rsid w:val="00933D0E"/>
    <w:rsid w:val="009418FE"/>
    <w:rsid w:val="00950A9A"/>
    <w:rsid w:val="00953713"/>
    <w:rsid w:val="00957824"/>
    <w:rsid w:val="00960628"/>
    <w:rsid w:val="0096124C"/>
    <w:rsid w:val="0097243E"/>
    <w:rsid w:val="00982583"/>
    <w:rsid w:val="00997E53"/>
    <w:rsid w:val="009C7142"/>
    <w:rsid w:val="009D6A21"/>
    <w:rsid w:val="009E3581"/>
    <w:rsid w:val="009F32D7"/>
    <w:rsid w:val="00A032FB"/>
    <w:rsid w:val="00A102E7"/>
    <w:rsid w:val="00A30F8A"/>
    <w:rsid w:val="00A32728"/>
    <w:rsid w:val="00A33EC6"/>
    <w:rsid w:val="00A353FA"/>
    <w:rsid w:val="00A36DF8"/>
    <w:rsid w:val="00A62D1E"/>
    <w:rsid w:val="00A646BE"/>
    <w:rsid w:val="00A7403F"/>
    <w:rsid w:val="00A82509"/>
    <w:rsid w:val="00A8324D"/>
    <w:rsid w:val="00A87FE1"/>
    <w:rsid w:val="00A918FE"/>
    <w:rsid w:val="00A94C31"/>
    <w:rsid w:val="00AA7B08"/>
    <w:rsid w:val="00AC3C67"/>
    <w:rsid w:val="00AC51BA"/>
    <w:rsid w:val="00AE52B7"/>
    <w:rsid w:val="00AF1C23"/>
    <w:rsid w:val="00B02673"/>
    <w:rsid w:val="00B04717"/>
    <w:rsid w:val="00B1165A"/>
    <w:rsid w:val="00B12A3D"/>
    <w:rsid w:val="00B37AD5"/>
    <w:rsid w:val="00B55380"/>
    <w:rsid w:val="00B56B67"/>
    <w:rsid w:val="00B610D8"/>
    <w:rsid w:val="00B62BF2"/>
    <w:rsid w:val="00B655EE"/>
    <w:rsid w:val="00B80476"/>
    <w:rsid w:val="00B83118"/>
    <w:rsid w:val="00B94204"/>
    <w:rsid w:val="00B974B2"/>
    <w:rsid w:val="00BA0ED8"/>
    <w:rsid w:val="00BA69DF"/>
    <w:rsid w:val="00BB146B"/>
    <w:rsid w:val="00BC2B39"/>
    <w:rsid w:val="00BC7887"/>
    <w:rsid w:val="00BD54EB"/>
    <w:rsid w:val="00BD62B3"/>
    <w:rsid w:val="00BE5775"/>
    <w:rsid w:val="00BE5E46"/>
    <w:rsid w:val="00C16D31"/>
    <w:rsid w:val="00C17564"/>
    <w:rsid w:val="00C2254D"/>
    <w:rsid w:val="00C22C8C"/>
    <w:rsid w:val="00C25187"/>
    <w:rsid w:val="00C41606"/>
    <w:rsid w:val="00C435B4"/>
    <w:rsid w:val="00C47486"/>
    <w:rsid w:val="00C56C01"/>
    <w:rsid w:val="00C60EDC"/>
    <w:rsid w:val="00C615C2"/>
    <w:rsid w:val="00C6301A"/>
    <w:rsid w:val="00C77ADD"/>
    <w:rsid w:val="00C84AE2"/>
    <w:rsid w:val="00C85EEE"/>
    <w:rsid w:val="00C86550"/>
    <w:rsid w:val="00C8714D"/>
    <w:rsid w:val="00CA2A60"/>
    <w:rsid w:val="00CA7515"/>
    <w:rsid w:val="00CB04BB"/>
    <w:rsid w:val="00CB4899"/>
    <w:rsid w:val="00CC08D3"/>
    <w:rsid w:val="00CC16D0"/>
    <w:rsid w:val="00CC68D4"/>
    <w:rsid w:val="00CD0FB6"/>
    <w:rsid w:val="00CD1AA5"/>
    <w:rsid w:val="00CD1D2E"/>
    <w:rsid w:val="00CE0154"/>
    <w:rsid w:val="00CE4F02"/>
    <w:rsid w:val="00CE6DBF"/>
    <w:rsid w:val="00CE7F1C"/>
    <w:rsid w:val="00CF322E"/>
    <w:rsid w:val="00D05F58"/>
    <w:rsid w:val="00D1796D"/>
    <w:rsid w:val="00D17CD2"/>
    <w:rsid w:val="00D22FEF"/>
    <w:rsid w:val="00D336AA"/>
    <w:rsid w:val="00D33B93"/>
    <w:rsid w:val="00D37E14"/>
    <w:rsid w:val="00D46A3E"/>
    <w:rsid w:val="00D531AD"/>
    <w:rsid w:val="00D56CE0"/>
    <w:rsid w:val="00D5708B"/>
    <w:rsid w:val="00D62927"/>
    <w:rsid w:val="00D75A7C"/>
    <w:rsid w:val="00D81FFA"/>
    <w:rsid w:val="00D87879"/>
    <w:rsid w:val="00D9095B"/>
    <w:rsid w:val="00D97F36"/>
    <w:rsid w:val="00DA0C75"/>
    <w:rsid w:val="00DA1C4C"/>
    <w:rsid w:val="00DB063A"/>
    <w:rsid w:val="00DB183D"/>
    <w:rsid w:val="00DD264A"/>
    <w:rsid w:val="00DD7827"/>
    <w:rsid w:val="00DE163B"/>
    <w:rsid w:val="00DE611D"/>
    <w:rsid w:val="00DE7A00"/>
    <w:rsid w:val="00DF12A1"/>
    <w:rsid w:val="00DF7989"/>
    <w:rsid w:val="00E12F85"/>
    <w:rsid w:val="00E148EE"/>
    <w:rsid w:val="00E178A2"/>
    <w:rsid w:val="00E354B9"/>
    <w:rsid w:val="00E56F14"/>
    <w:rsid w:val="00E64914"/>
    <w:rsid w:val="00E65D97"/>
    <w:rsid w:val="00E700F4"/>
    <w:rsid w:val="00E737E5"/>
    <w:rsid w:val="00E74EA3"/>
    <w:rsid w:val="00E77DAF"/>
    <w:rsid w:val="00E87E1D"/>
    <w:rsid w:val="00EA0987"/>
    <w:rsid w:val="00EA14B6"/>
    <w:rsid w:val="00EA5B37"/>
    <w:rsid w:val="00EB4EEF"/>
    <w:rsid w:val="00EC40C9"/>
    <w:rsid w:val="00ED44DA"/>
    <w:rsid w:val="00EF3534"/>
    <w:rsid w:val="00EF3E92"/>
    <w:rsid w:val="00EF464E"/>
    <w:rsid w:val="00F0198A"/>
    <w:rsid w:val="00F074BB"/>
    <w:rsid w:val="00F14C29"/>
    <w:rsid w:val="00F14C33"/>
    <w:rsid w:val="00F319D1"/>
    <w:rsid w:val="00F42841"/>
    <w:rsid w:val="00F444E0"/>
    <w:rsid w:val="00F665C8"/>
    <w:rsid w:val="00F74AAC"/>
    <w:rsid w:val="00F74BD4"/>
    <w:rsid w:val="00F74D52"/>
    <w:rsid w:val="00F8073F"/>
    <w:rsid w:val="00F85F63"/>
    <w:rsid w:val="00F8748B"/>
    <w:rsid w:val="00F8788B"/>
    <w:rsid w:val="00F879D3"/>
    <w:rsid w:val="00F91C5C"/>
    <w:rsid w:val="00F940B3"/>
    <w:rsid w:val="00FA708F"/>
    <w:rsid w:val="00FB7FC7"/>
    <w:rsid w:val="00FC417F"/>
    <w:rsid w:val="00FC58D6"/>
    <w:rsid w:val="00FD006F"/>
    <w:rsid w:val="00FD0DDD"/>
    <w:rsid w:val="00FE3550"/>
    <w:rsid w:val="00FE6532"/>
    <w:rsid w:val="00FE7A16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72C9FED1"/>
  <w15:chartTrackingRefBased/>
  <w15:docId w15:val="{E808F407-ACBB-4140-9496-F2EAABC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jc w:val="right"/>
      <w:outlineLvl w:val="5"/>
    </w:pPr>
    <w:rPr>
      <w:rFonts w:ascii="Footlight MT Light" w:hAnsi="Footlight MT Light"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3"/>
      </w:numPr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3"/>
      </w:numPr>
      <w:outlineLvl w:val="8"/>
    </w:pPr>
    <w:rPr>
      <w:rFonts w:ascii="Calisto MT" w:hAnsi="Calisto M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Book Antiqua" w:hAnsi="Book Antiqua"/>
      <w:b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4z0">
    <w:name w:val="WW8Num34z0"/>
    <w:rPr>
      <w:rFonts w:ascii="Book Antiqua" w:hAnsi="Book Antiqua"/>
      <w:b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0z0">
    <w:name w:val="WW8Num40z0"/>
    <w:rPr>
      <w:b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St2z0">
    <w:name w:val="WW8NumSt2z0"/>
    <w:rPr>
      <w:rFonts w:ascii="Monotype Sorts" w:hAnsi="Monotype Sorts"/>
    </w:rPr>
  </w:style>
  <w:style w:type="character" w:customStyle="1" w:styleId="WW8NumSt3z0">
    <w:name w:val="WW8NumSt3z0"/>
    <w:rPr>
      <w:rFonts w:ascii="Monotype Sorts" w:hAnsi="Monotype Sorts"/>
    </w:rPr>
  </w:style>
  <w:style w:type="character" w:customStyle="1" w:styleId="WW8NumSt4z0">
    <w:name w:val="WW8NumSt4z0"/>
    <w:rPr>
      <w:rFonts w:ascii="Wingdings" w:hAnsi="Wingdings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vertAlign w:val="superscript"/>
    </w:rPr>
  </w:style>
  <w:style w:type="character" w:styleId="Nmerodepgina">
    <w:name w:val="page number"/>
    <w:basedOn w:val="Fuentedeprrafopredeter1"/>
  </w:style>
  <w:style w:type="character" w:customStyle="1" w:styleId="Textoennegrita1">
    <w:name w:val="Texto en negrita1"/>
    <w:rPr>
      <w:b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Normal"/>
    <w:pPr>
      <w:ind w:left="283" w:hanging="283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Ttulodeldocumento">
    <w:name w:val="Título del documento"/>
    <w:basedOn w:val="Normal"/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  <w:sz w:val="24"/>
    </w:rPr>
  </w:style>
  <w:style w:type="paragraph" w:customStyle="1" w:styleId="Saludo1">
    <w:name w:val="Saludo1"/>
    <w:basedOn w:val="Normal"/>
    <w:next w:val="Normal"/>
  </w:style>
  <w:style w:type="paragraph" w:customStyle="1" w:styleId="Cierre1">
    <w:name w:val="Cierre1"/>
    <w:basedOn w:val="Normal"/>
    <w:pPr>
      <w:ind w:left="4252"/>
    </w:pPr>
  </w:style>
  <w:style w:type="paragraph" w:customStyle="1" w:styleId="ListaCC">
    <w:name w:val="Lista CC."/>
    <w:basedOn w:val="Normal"/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styleId="Firma">
    <w:name w:val="Signature"/>
    <w:basedOn w:val="Normal"/>
    <w:pPr>
      <w:ind w:left="4252"/>
    </w:pPr>
  </w:style>
  <w:style w:type="paragraph" w:customStyle="1" w:styleId="Textoindependiente21">
    <w:name w:val="Texto independiente 21"/>
    <w:basedOn w:val="Normal"/>
    <w:pPr>
      <w:ind w:left="705" w:hanging="705"/>
      <w:jc w:val="both"/>
    </w:pPr>
    <w:rPr>
      <w:rFonts w:ascii="Bookman Old Style" w:hAnsi="Bookman Old Style"/>
      <w:sz w:val="24"/>
    </w:rPr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customStyle="1" w:styleId="Sangranormal1">
    <w:name w:val="Sangría normal1"/>
    <w:basedOn w:val="Normal"/>
    <w:pPr>
      <w:ind w:left="708"/>
    </w:pPr>
  </w:style>
  <w:style w:type="paragraph" w:styleId="Textonotapie">
    <w:name w:val="footnote text"/>
    <w:basedOn w:val="Normal"/>
    <w:semiHidden/>
  </w:style>
  <w:style w:type="paragraph" w:customStyle="1" w:styleId="Textoindependiente31">
    <w:name w:val="Texto independiente 31"/>
    <w:basedOn w:val="Normal"/>
    <w:pPr>
      <w:jc w:val="both"/>
    </w:pPr>
    <w:rPr>
      <w:rFonts w:ascii="Bookman Old Style" w:hAnsi="Bookman Old Style"/>
      <w:b/>
      <w:sz w:val="24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eastAsia="Arial" w:hAnsi="Courier New"/>
      <w:i/>
      <w:sz w:val="24"/>
      <w:lang w:val="en-US" w:eastAsia="ar-SA"/>
    </w:rPr>
  </w:style>
  <w:style w:type="paragraph" w:customStyle="1" w:styleId="Listaconvietas1">
    <w:name w:val="Lista con viñetas1"/>
    <w:basedOn w:val="Normal"/>
    <w:pPr>
      <w:tabs>
        <w:tab w:val="left" w:pos="360"/>
      </w:tabs>
      <w:ind w:left="360" w:hanging="360"/>
    </w:pPr>
  </w:style>
  <w:style w:type="paragraph" w:customStyle="1" w:styleId="Listaconvietas21">
    <w:name w:val="Lista con viñetas 21"/>
    <w:basedOn w:val="Normal"/>
    <w:pPr>
      <w:tabs>
        <w:tab w:val="left" w:pos="643"/>
      </w:tabs>
      <w:ind w:left="643" w:hanging="360"/>
    </w:pPr>
  </w:style>
  <w:style w:type="paragraph" w:customStyle="1" w:styleId="Continuarlista21">
    <w:name w:val="Continuar lista 21"/>
    <w:basedOn w:val="Normal"/>
    <w:pPr>
      <w:spacing w:after="120"/>
      <w:ind w:left="566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independiente210">
    <w:name w:val="Texto independiente 21"/>
    <w:basedOn w:val="Normal"/>
    <w:rPr>
      <w:rFonts w:ascii="Book Antiqua" w:hAnsi="Book Antiqua"/>
      <w:spacing w:val="-3"/>
      <w:sz w:val="16"/>
    </w:rPr>
  </w:style>
  <w:style w:type="paragraph" w:customStyle="1" w:styleId="Textoindependiente310">
    <w:name w:val="Texto independiente 31"/>
    <w:basedOn w:val="Normal"/>
    <w:pPr>
      <w:widowControl w:val="0"/>
      <w:jc w:val="both"/>
    </w:pPr>
    <w:rPr>
      <w:rFonts w:ascii="Century Gothic" w:hAnsi="Century Gothic"/>
      <w:spacing w:val="-3"/>
      <w:sz w:val="18"/>
    </w:rPr>
  </w:style>
  <w:style w:type="paragraph" w:styleId="Sangradetextonormal">
    <w:name w:val="Body Text Indent"/>
    <w:basedOn w:val="Normal"/>
    <w:pPr>
      <w:ind w:left="360"/>
      <w:jc w:val="both"/>
    </w:pPr>
    <w:rPr>
      <w:sz w:val="24"/>
    </w:rPr>
  </w:style>
  <w:style w:type="paragraph" w:customStyle="1" w:styleId="Sangra2detindependiente1">
    <w:name w:val="Sangría 2 de t. independiente1"/>
    <w:basedOn w:val="Normal"/>
    <w:pPr>
      <w:tabs>
        <w:tab w:val="center" w:pos="5256"/>
      </w:tabs>
      <w:ind w:left="4248"/>
      <w:jc w:val="both"/>
    </w:pPr>
    <w:rPr>
      <w:rFonts w:ascii="Footlight MT Light" w:hAnsi="Footlight MT Light"/>
      <w:i/>
      <w:spacing w:val="-3"/>
      <w:sz w:val="24"/>
    </w:rPr>
  </w:style>
  <w:style w:type="paragraph" w:customStyle="1" w:styleId="Textodebloque1">
    <w:name w:val="Texto de bloque1"/>
    <w:basedOn w:val="Normal"/>
    <w:pPr>
      <w:tabs>
        <w:tab w:val="left" w:pos="-720"/>
        <w:tab w:val="left" w:pos="0"/>
      </w:tabs>
      <w:spacing w:line="480" w:lineRule="auto"/>
      <w:ind w:left="720" w:right="-144" w:hanging="720"/>
      <w:jc w:val="both"/>
    </w:pPr>
    <w:rPr>
      <w:rFonts w:ascii="Footlight MT Light" w:hAnsi="Footlight MT Light"/>
      <w:i/>
      <w:spacing w:val="-3"/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84"/>
      <w:jc w:val="both"/>
    </w:pPr>
    <w:rPr>
      <w:sz w:val="24"/>
    </w:rPr>
  </w:style>
  <w:style w:type="paragraph" w:customStyle="1" w:styleId="Lneadereferencia">
    <w:name w:val="Línea de referencia"/>
    <w:basedOn w:val="Textoindependiente"/>
    <w:pPr>
      <w:widowControl w:val="0"/>
    </w:pPr>
    <w:rPr>
      <w:lang w:val="es-ES"/>
    </w:rPr>
  </w:style>
  <w:style w:type="table" w:styleId="Tablaconcuadrcula">
    <w:name w:val="Table Grid"/>
    <w:basedOn w:val="Tablanormal"/>
    <w:rsid w:val="00E74EA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D62927"/>
    <w:pPr>
      <w:suppressAutoHyphens w:val="0"/>
      <w:ind w:left="720"/>
    </w:pPr>
    <w:rPr>
      <w:rFonts w:ascii="Calibri" w:hAnsi="Calibri"/>
      <w:sz w:val="22"/>
      <w:szCs w:val="22"/>
      <w:lang w:val="es-ES" w:eastAsia="es-ES"/>
    </w:rPr>
  </w:style>
  <w:style w:type="character" w:styleId="Refdenotaalpie">
    <w:name w:val="footnote reference"/>
    <w:semiHidden/>
    <w:rsid w:val="00274D54"/>
    <w:rPr>
      <w:vertAlign w:val="superscript"/>
    </w:rPr>
  </w:style>
  <w:style w:type="paragraph" w:styleId="Textodeglobo">
    <w:name w:val="Balloon Text"/>
    <w:basedOn w:val="Normal"/>
    <w:semiHidden/>
    <w:rsid w:val="007277F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3B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No</vt:lpstr>
    </vt:vector>
  </TitlesOfParts>
  <Company>PODER-JUDICIAL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No</dc:title>
  <dc:subject/>
  <dc:creator>Departamento de Informática</dc:creator>
  <cp:keywords/>
  <cp:lastModifiedBy>Jorge Robles Zúñiga</cp:lastModifiedBy>
  <cp:revision>3</cp:revision>
  <cp:lastPrinted>2018-01-11T14:06:00Z</cp:lastPrinted>
  <dcterms:created xsi:type="dcterms:W3CDTF">2019-01-10T14:59:00Z</dcterms:created>
  <dcterms:modified xsi:type="dcterms:W3CDTF">2019-01-10T16:25:00Z</dcterms:modified>
</cp:coreProperties>
</file>