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DAB3" w14:textId="77777777" w:rsidR="006575E0" w:rsidRPr="00C853AA" w:rsidRDefault="006575E0" w:rsidP="00BC0FE6">
      <w:pPr>
        <w:suppressAutoHyphens w:val="0"/>
        <w:spacing w:before="240" w:after="240"/>
        <w:jc w:val="center"/>
        <w:rPr>
          <w:rFonts w:ascii="Arial Narrow" w:eastAsia="Batang" w:hAnsi="Arial Narrow"/>
          <w:color w:val="000000"/>
          <w:lang w:eastAsia="ko-KR"/>
        </w:rPr>
      </w:pPr>
      <w:r w:rsidRPr="00C853AA">
        <w:rPr>
          <w:rFonts w:ascii="Arial Narrow" w:eastAsia="Batang" w:hAnsi="Arial Narrow"/>
          <w:color w:val="000000"/>
          <w:lang w:eastAsia="ko-KR"/>
        </w:rPr>
        <w:t>CIRCULAR Nº</w:t>
      </w:r>
      <w:r w:rsidR="00B94A47">
        <w:rPr>
          <w:rFonts w:ascii="Arial Narrow" w:eastAsia="Batang" w:hAnsi="Arial Narrow"/>
          <w:color w:val="000000"/>
          <w:lang w:eastAsia="ko-KR"/>
        </w:rPr>
        <w:t xml:space="preserve"> </w:t>
      </w:r>
      <w:r w:rsidR="005A3268">
        <w:rPr>
          <w:rFonts w:ascii="Arial Narrow" w:eastAsia="Batang" w:hAnsi="Arial Narrow"/>
          <w:color w:val="000000"/>
          <w:lang w:eastAsia="ko-KR"/>
        </w:rPr>
        <w:t>181-</w:t>
      </w:r>
      <w:r w:rsidR="00890440">
        <w:rPr>
          <w:rFonts w:ascii="Arial Narrow" w:eastAsia="Batang" w:hAnsi="Arial Narrow"/>
          <w:color w:val="000000"/>
          <w:lang w:eastAsia="ko-KR"/>
        </w:rPr>
        <w:t>2024</w:t>
      </w:r>
    </w:p>
    <w:p w14:paraId="1378C7B7" w14:textId="77777777" w:rsidR="009E030C" w:rsidRDefault="006575E0" w:rsidP="003C0469">
      <w:pPr>
        <w:suppressAutoHyphens w:val="0"/>
        <w:spacing w:before="240" w:after="240"/>
        <w:ind w:firstLine="709"/>
        <w:jc w:val="both"/>
        <w:rPr>
          <w:rFonts w:ascii="Arial Narrow" w:eastAsia="Batang" w:hAnsi="Arial Narrow"/>
          <w:lang w:eastAsia="ko-KR"/>
        </w:rPr>
      </w:pPr>
      <w:r w:rsidRPr="00C853AA">
        <w:rPr>
          <w:rFonts w:ascii="Arial Narrow" w:eastAsia="Batang" w:hAnsi="Arial Narrow"/>
          <w:lang w:eastAsia="ko-KR"/>
        </w:rPr>
        <w:t xml:space="preserve">Asunto: </w:t>
      </w:r>
      <w:r w:rsidR="009E030C">
        <w:rPr>
          <w:rFonts w:ascii="Arial Narrow" w:eastAsia="Batang" w:hAnsi="Arial Narrow"/>
          <w:lang w:eastAsia="ko-KR"/>
        </w:rPr>
        <w:t>D</w:t>
      </w:r>
      <w:r w:rsidR="009E030C" w:rsidRPr="009E030C">
        <w:rPr>
          <w:rFonts w:ascii="Arial Narrow" w:eastAsia="Batang" w:hAnsi="Arial Narrow"/>
          <w:lang w:eastAsia="ko-KR"/>
        </w:rPr>
        <w:t>irectrices para el pago de viáticos dentro del país, para las plazas de personal juzgador y técnico supernumerario, en la atención de planes de trabajo y/o suplencias</w:t>
      </w:r>
      <w:r w:rsidR="00CA132E">
        <w:rPr>
          <w:rFonts w:ascii="Arial Narrow" w:eastAsia="Batang" w:hAnsi="Arial Narrow"/>
          <w:lang w:eastAsia="ko-KR"/>
        </w:rPr>
        <w:t>.</w:t>
      </w:r>
    </w:p>
    <w:p w14:paraId="1B928449" w14:textId="77777777" w:rsidR="006575E0" w:rsidRPr="00C853AA" w:rsidRDefault="006575E0" w:rsidP="005A3268">
      <w:pPr>
        <w:suppressAutoHyphens w:val="0"/>
        <w:spacing w:before="240" w:after="240"/>
        <w:jc w:val="center"/>
        <w:rPr>
          <w:rFonts w:ascii="Arial Narrow" w:hAnsi="Arial Narrow"/>
        </w:rPr>
      </w:pPr>
      <w:r w:rsidRPr="00C853AA">
        <w:rPr>
          <w:rFonts w:ascii="Arial Narrow" w:hAnsi="Arial Narrow"/>
        </w:rPr>
        <w:t>A</w:t>
      </w:r>
      <w:r w:rsidR="00CA132E">
        <w:rPr>
          <w:rFonts w:ascii="Arial Narrow" w:hAnsi="Arial Narrow"/>
        </w:rPr>
        <w:t>L PERS</w:t>
      </w:r>
      <w:r w:rsidR="00B94A47">
        <w:rPr>
          <w:rFonts w:ascii="Arial Narrow" w:hAnsi="Arial Narrow"/>
        </w:rPr>
        <w:t>O</w:t>
      </w:r>
      <w:r w:rsidR="00CA132E">
        <w:rPr>
          <w:rFonts w:ascii="Arial Narrow" w:hAnsi="Arial Narrow"/>
        </w:rPr>
        <w:t xml:space="preserve">NAL JUZGADOR Y TÉCNICO SUPERNUMERARIO, ADMINISTRACIONES </w:t>
      </w:r>
      <w:r w:rsidR="00CF447F">
        <w:rPr>
          <w:rFonts w:ascii="Arial Narrow" w:hAnsi="Arial Narrow"/>
        </w:rPr>
        <w:t xml:space="preserve">REGIONALES Y </w:t>
      </w:r>
      <w:r w:rsidR="00B94A47">
        <w:rPr>
          <w:rFonts w:ascii="Arial Narrow" w:hAnsi="Arial Narrow"/>
        </w:rPr>
        <w:t>AL CENTRO DE APOYO, COORDINACIÓN Y MEJORAMIENTO DE LA FUNCIÓN JURISDICCIONAL</w:t>
      </w:r>
    </w:p>
    <w:p w14:paraId="5EE99EF6" w14:textId="77777777" w:rsidR="006575E0" w:rsidRPr="00C853AA" w:rsidRDefault="006575E0" w:rsidP="005A3268">
      <w:pPr>
        <w:suppressAutoHyphens w:val="0"/>
        <w:spacing w:before="240" w:after="240"/>
        <w:jc w:val="center"/>
        <w:rPr>
          <w:rFonts w:ascii="Arial Narrow" w:eastAsia="Batang" w:hAnsi="Arial Narrow"/>
          <w:lang w:eastAsia="ko-KR"/>
        </w:rPr>
      </w:pPr>
      <w:r w:rsidRPr="00C853AA">
        <w:rPr>
          <w:rFonts w:ascii="Arial Narrow" w:eastAsia="Batang" w:hAnsi="Arial Narrow"/>
          <w:lang w:eastAsia="ko-KR"/>
        </w:rPr>
        <w:t>SE HACE SABER QUE:</w:t>
      </w:r>
    </w:p>
    <w:p w14:paraId="43843748" w14:textId="77777777" w:rsidR="006575E0" w:rsidRPr="005A0A7C" w:rsidRDefault="006575E0" w:rsidP="005A3268">
      <w:pPr>
        <w:ind w:firstLine="708"/>
        <w:jc w:val="both"/>
        <w:rPr>
          <w:rFonts w:ascii="Arial Narrow" w:hAnsi="Arial Narrow"/>
          <w:bCs/>
        </w:rPr>
      </w:pPr>
      <w:r w:rsidRPr="005A0A7C">
        <w:rPr>
          <w:rFonts w:ascii="Arial Narrow" w:hAnsi="Arial Narrow"/>
        </w:rPr>
        <w:t>El Consejo Superior del Poder Judicial</w:t>
      </w:r>
      <w:r w:rsidR="005A3268" w:rsidRPr="005A0A7C">
        <w:rPr>
          <w:rFonts w:ascii="Arial Narrow" w:hAnsi="Arial Narrow"/>
        </w:rPr>
        <w:t xml:space="preserve"> en sesión N° 68-2024 celebrada el 01 de agosto de 2024, artículo XXXVI</w:t>
      </w:r>
      <w:r w:rsidRPr="005A0A7C">
        <w:rPr>
          <w:rFonts w:ascii="Arial Narrow" w:hAnsi="Arial Narrow"/>
        </w:rPr>
        <w:t>,</w:t>
      </w:r>
      <w:r w:rsidRPr="005A0A7C">
        <w:rPr>
          <w:rFonts w:ascii="Arial Narrow" w:hAnsi="Arial Narrow"/>
          <w:bCs/>
        </w:rPr>
        <w:t xml:space="preserve"> dispuso </w:t>
      </w:r>
      <w:r w:rsidR="00B94A47" w:rsidRPr="005A0A7C">
        <w:rPr>
          <w:rFonts w:ascii="Arial Narrow" w:hAnsi="Arial Narrow"/>
          <w:bCs/>
        </w:rPr>
        <w:t xml:space="preserve">aprobar los lineamientos propuestos por el Centro de Apoyo, Coordinación y Mejoramiento de la Función Jurisdiccional en conjunto con la Dirección Ejecutiva, </w:t>
      </w:r>
      <w:r w:rsidR="00C853AA" w:rsidRPr="005A0A7C">
        <w:rPr>
          <w:rFonts w:ascii="Arial Narrow" w:hAnsi="Arial Narrow"/>
          <w:bCs/>
        </w:rPr>
        <w:t>sobre</w:t>
      </w:r>
      <w:r w:rsidR="00B94A47" w:rsidRPr="005A0A7C">
        <w:rPr>
          <w:rFonts w:ascii="Arial Narrow" w:hAnsi="Arial Narrow"/>
          <w:bCs/>
        </w:rPr>
        <w:t xml:space="preserve"> las </w:t>
      </w:r>
      <w:r w:rsidR="00C853AA" w:rsidRPr="005A0A7C">
        <w:rPr>
          <w:rFonts w:ascii="Arial Narrow" w:hAnsi="Arial Narrow"/>
          <w:bCs/>
        </w:rPr>
        <w:t>“</w:t>
      </w:r>
      <w:bookmarkStart w:id="0" w:name="_Hlk167279450"/>
      <w:r w:rsidR="00B94A47" w:rsidRPr="005A0A7C">
        <w:rPr>
          <w:rFonts w:ascii="Arial Narrow" w:hAnsi="Arial Narrow"/>
          <w:bCs/>
        </w:rPr>
        <w:t>Directrices para el pago de viáticos dentro del país, para las plazas de personal juzgador y técnico supernumerario, en la atención de planes de trabajo y/o suplencias</w:t>
      </w:r>
      <w:bookmarkEnd w:id="0"/>
      <w:r w:rsidR="00B94A47" w:rsidRPr="005A0A7C">
        <w:rPr>
          <w:rFonts w:ascii="Arial Narrow" w:hAnsi="Arial Narrow"/>
          <w:bCs/>
        </w:rPr>
        <w:t xml:space="preserve"> en despachos</w:t>
      </w:r>
      <w:r w:rsidRPr="005A0A7C">
        <w:rPr>
          <w:rFonts w:ascii="Arial Narrow" w:hAnsi="Arial Narrow"/>
          <w:bCs/>
        </w:rPr>
        <w:t>”</w:t>
      </w:r>
      <w:r w:rsidR="00C853AA" w:rsidRPr="005A0A7C">
        <w:rPr>
          <w:rFonts w:ascii="Arial Narrow" w:hAnsi="Arial Narrow"/>
          <w:bCs/>
        </w:rPr>
        <w:t>, que dice:</w:t>
      </w:r>
    </w:p>
    <w:p w14:paraId="42499EEC" w14:textId="77777777" w:rsidR="005A3268" w:rsidRPr="005A0A7C" w:rsidRDefault="005A3268" w:rsidP="005A3268">
      <w:pPr>
        <w:ind w:firstLine="708"/>
        <w:jc w:val="both"/>
        <w:rPr>
          <w:rFonts w:ascii="Arial Narrow" w:hAnsi="Arial Narrow"/>
          <w:bCs/>
        </w:rPr>
      </w:pPr>
    </w:p>
    <w:p w14:paraId="1D628E71" w14:textId="77777777" w:rsidR="00AA5146" w:rsidRPr="005A0A7C" w:rsidRDefault="00AA5146" w:rsidP="005A3268">
      <w:pPr>
        <w:spacing w:line="259" w:lineRule="auto"/>
        <w:jc w:val="both"/>
        <w:rPr>
          <w:rFonts w:ascii="Arial Narrow" w:hAnsi="Arial Narrow"/>
        </w:rPr>
      </w:pPr>
      <w:bookmarkStart w:id="1" w:name="_Hlk167282072"/>
      <w:r w:rsidRPr="005A0A7C">
        <w:rPr>
          <w:rFonts w:ascii="Arial Narrow" w:hAnsi="Arial Narrow"/>
        </w:rPr>
        <w:t>Directrices para el pago de viáticos dentro del país, para las plazas de personal juzgador y técnico supernumerario, en la atención de planes de trabajo y/o suplencias en despachos</w:t>
      </w:r>
      <w:bookmarkEnd w:id="1"/>
      <w:r w:rsidR="005A3268" w:rsidRPr="005A0A7C">
        <w:rPr>
          <w:rFonts w:ascii="Arial Narrow" w:hAnsi="Arial Narrow"/>
        </w:rPr>
        <w:t>.</w:t>
      </w:r>
    </w:p>
    <w:p w14:paraId="68FF3C32" w14:textId="77777777" w:rsidR="005A3268" w:rsidRPr="005A0A7C" w:rsidRDefault="005A3268" w:rsidP="005A3268">
      <w:pPr>
        <w:spacing w:line="259" w:lineRule="auto"/>
        <w:jc w:val="both"/>
        <w:rPr>
          <w:rFonts w:ascii="Arial Narrow" w:hAnsi="Arial Narrow"/>
        </w:rPr>
      </w:pPr>
    </w:p>
    <w:p w14:paraId="22B53E61" w14:textId="77777777" w:rsidR="00BC0FE6" w:rsidRPr="005A0A7C" w:rsidRDefault="00AA5146" w:rsidP="005A3268">
      <w:pPr>
        <w:spacing w:line="259" w:lineRule="auto"/>
        <w:jc w:val="both"/>
        <w:rPr>
          <w:rFonts w:ascii="Arial Narrow" w:hAnsi="Arial Narrow"/>
        </w:rPr>
      </w:pPr>
      <w:r w:rsidRPr="005A0A7C">
        <w:rPr>
          <w:rFonts w:ascii="Arial Narrow" w:hAnsi="Arial Narrow"/>
        </w:rPr>
        <w:t xml:space="preserve">A continuación, se presentan las directrices que regulan lo relacionado con el pago de viáticos dentro del país, para las plazas de personal juzgador y técnico supernumerario, adscrito </w:t>
      </w:r>
      <w:r w:rsidR="00BC0FE6" w:rsidRPr="005A0A7C">
        <w:rPr>
          <w:rFonts w:ascii="Arial Narrow" w:hAnsi="Arial Narrow"/>
        </w:rPr>
        <w:t xml:space="preserve">al CACMFJ y al personal técnico supernumerario adscrito </w:t>
      </w:r>
      <w:r w:rsidRPr="005A0A7C">
        <w:rPr>
          <w:rFonts w:ascii="Arial Narrow" w:hAnsi="Arial Narrow"/>
        </w:rPr>
        <w:t>a las administraciones regionales del país, al momento en que deban atender planes de trabajo y/o suplencias en despachos.</w:t>
      </w:r>
      <w:bookmarkStart w:id="2" w:name="_Hlk167312772"/>
    </w:p>
    <w:p w14:paraId="1E26DE84" w14:textId="77777777" w:rsidR="005A3268" w:rsidRPr="005A0A7C" w:rsidRDefault="005A3268" w:rsidP="005A3268">
      <w:pPr>
        <w:spacing w:line="259" w:lineRule="auto"/>
        <w:jc w:val="both"/>
        <w:rPr>
          <w:rFonts w:ascii="Arial Narrow" w:hAnsi="Arial Narrow"/>
        </w:rPr>
      </w:pPr>
    </w:p>
    <w:p w14:paraId="5433282C" w14:textId="77777777" w:rsidR="00BC0FE6" w:rsidRPr="005A0A7C" w:rsidRDefault="00BC0FE6" w:rsidP="005A3268">
      <w:pPr>
        <w:shd w:val="clear" w:color="auto" w:fill="FFFFFF"/>
        <w:spacing w:line="259" w:lineRule="auto"/>
        <w:jc w:val="both"/>
        <w:rPr>
          <w:rFonts w:ascii="Arial Narrow" w:hAnsi="Arial Narrow" w:cs="Arial"/>
        </w:rPr>
      </w:pPr>
      <w:r w:rsidRPr="005A0A7C">
        <w:rPr>
          <w:rFonts w:ascii="Arial Narrow" w:hAnsi="Arial Narrow" w:cs="Arial"/>
        </w:rPr>
        <w:t>Lineamientos Generales:</w:t>
      </w:r>
    </w:p>
    <w:p w14:paraId="4998FEFE" w14:textId="77777777" w:rsidR="005A3268" w:rsidRPr="005A0A7C" w:rsidRDefault="005A3268" w:rsidP="005A3268">
      <w:pPr>
        <w:shd w:val="clear" w:color="auto" w:fill="FFFFFF"/>
        <w:spacing w:line="259" w:lineRule="auto"/>
        <w:jc w:val="both"/>
        <w:rPr>
          <w:rFonts w:ascii="Arial Narrow" w:hAnsi="Arial Narrow" w:cs="Arial"/>
        </w:rPr>
      </w:pPr>
    </w:p>
    <w:p w14:paraId="0D7B3C67"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Las directrices serán de acatamiento obligatorio para el personal juzgador y técnico supernumerario asignado al CACMFJ y así como técnico supernumerario, adscrito a las Administraciones Regionales del país.</w:t>
      </w:r>
    </w:p>
    <w:p w14:paraId="4BC904FF" w14:textId="77777777" w:rsidR="00BC0FE6" w:rsidRPr="005A0A7C" w:rsidRDefault="00BC0FE6" w:rsidP="005A3268">
      <w:pPr>
        <w:pStyle w:val="Prrafodelista"/>
        <w:spacing w:line="259" w:lineRule="auto"/>
        <w:ind w:left="0"/>
        <w:jc w:val="both"/>
        <w:rPr>
          <w:rFonts w:ascii="Arial Narrow" w:hAnsi="Arial Narrow" w:cs="Arial"/>
        </w:rPr>
      </w:pPr>
    </w:p>
    <w:p w14:paraId="79D192B5"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 xml:space="preserve">Cada centro gestor que cuente con personal supernumerario a su cargo deberá realizar las acciones necesarias para disponer del respectivo contenido presupuestario en el programa 927 (servicio jurisdiccional), para cubrir el pago de viáticos a dichos funcionarios o funcionarias; gestionando desde una objetiva formulación de recursos, hasta movimientos presupuestarios que permitan la cancelación de dichos rubos cuando corresponda.  </w:t>
      </w:r>
    </w:p>
    <w:p w14:paraId="77F6356B" w14:textId="77777777" w:rsidR="00BC0FE6" w:rsidRPr="005A0A7C" w:rsidRDefault="00BC0FE6" w:rsidP="005A3268">
      <w:pPr>
        <w:pStyle w:val="Prrafodelista"/>
        <w:ind w:left="0"/>
        <w:rPr>
          <w:rFonts w:ascii="Arial Narrow" w:hAnsi="Arial Narrow" w:cs="Arial"/>
        </w:rPr>
      </w:pPr>
    </w:p>
    <w:p w14:paraId="3B6C39E4"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Será obligación de cada centro gestor, informar con antelación al personal supernumerario a su cargo, aquellos casos en que una vez agotadas todas las vías anteriores, se encuentre sin contenido presupuestario para cubrir dichas erogaciones.</w:t>
      </w:r>
    </w:p>
    <w:p w14:paraId="41F5A895" w14:textId="77777777" w:rsidR="00BC0FE6" w:rsidRPr="005A0A7C" w:rsidRDefault="00BC0FE6" w:rsidP="005A3268">
      <w:pPr>
        <w:spacing w:line="259" w:lineRule="auto"/>
        <w:jc w:val="both"/>
        <w:rPr>
          <w:rFonts w:ascii="Arial Narrow" w:hAnsi="Arial Narrow" w:cs="Arial"/>
        </w:rPr>
      </w:pPr>
    </w:p>
    <w:p w14:paraId="08514448"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El trámite para el cobro o liquidación de viáticos deberá realizarse por medio del sistema SIGA-PJ disponible en la intranet judicial.</w:t>
      </w:r>
    </w:p>
    <w:p w14:paraId="30B54411" w14:textId="77777777" w:rsidR="00BC0FE6" w:rsidRPr="005A0A7C" w:rsidRDefault="00BC0FE6" w:rsidP="005A3268">
      <w:pPr>
        <w:pStyle w:val="Prrafodelista"/>
        <w:ind w:left="0"/>
        <w:rPr>
          <w:rFonts w:ascii="Arial Narrow" w:hAnsi="Arial Narrow" w:cs="Arial"/>
        </w:rPr>
      </w:pPr>
    </w:p>
    <w:p w14:paraId="350105B6"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lang w:eastAsia="es-CR"/>
        </w:rPr>
      </w:pPr>
      <w:r w:rsidRPr="005A0A7C">
        <w:rPr>
          <w:rFonts w:ascii="Arial Narrow" w:hAnsi="Arial Narrow" w:cs="Arial"/>
          <w:lang w:eastAsia="es-CR"/>
        </w:rPr>
        <w:lastRenderedPageBreak/>
        <w:t xml:space="preserve">Los montos a cancelar por concepto de viáticos se encuentran definidos en el “Reglamento de Gastos de Viaje y de Transporte para Funcionarios Públicos (autorizado por la Contraloría General de la Republica), </w:t>
      </w:r>
      <w:bookmarkStart w:id="3" w:name="_Hlk167450441"/>
      <w:r w:rsidRPr="005A0A7C">
        <w:rPr>
          <w:rFonts w:ascii="Arial Narrow" w:hAnsi="Arial Narrow" w:cs="Arial"/>
          <w:lang w:eastAsia="es-CR"/>
        </w:rPr>
        <w:t>cuya información se encuentra disponible en la página del Departamento Financiero Contable a través del siguiente link (</w:t>
      </w:r>
      <w:hyperlink r:id="rId10" w:history="1">
        <w:r w:rsidRPr="005A0A7C">
          <w:rPr>
            <w:rStyle w:val="Hipervnculo"/>
            <w:rFonts w:ascii="Arial Narrow" w:hAnsi="Arial Narrow" w:cs="Arial"/>
            <w:lang w:eastAsia="es-CR"/>
          </w:rPr>
          <w:t>https://fico.poder-judicial.go.cr/index.php?option=com_phocadownload&amp;view=category&amp;id=469&amp;Itemid=616</w:t>
        </w:r>
      </w:hyperlink>
      <w:r w:rsidRPr="005A0A7C">
        <w:rPr>
          <w:rFonts w:ascii="Arial Narrow" w:hAnsi="Arial Narrow" w:cs="Arial"/>
          <w:lang w:eastAsia="es-CR"/>
        </w:rPr>
        <w:t xml:space="preserve">). </w:t>
      </w:r>
    </w:p>
    <w:p w14:paraId="0344E02D" w14:textId="77777777" w:rsidR="00BC0FE6" w:rsidRPr="005A0A7C" w:rsidRDefault="00BC0FE6" w:rsidP="005A3268">
      <w:pPr>
        <w:spacing w:line="259" w:lineRule="auto"/>
        <w:jc w:val="both"/>
        <w:rPr>
          <w:rFonts w:ascii="Arial Narrow" w:hAnsi="Arial Narrow" w:cs="Arial"/>
          <w:lang w:eastAsia="es-CR"/>
        </w:rPr>
      </w:pPr>
    </w:p>
    <w:bookmarkEnd w:id="3"/>
    <w:p w14:paraId="0458D5A6"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 xml:space="preserve">Dadas las distancias entre los edificios principales de cada Circuito, en relación con los despachos ubicados en sus respectivas periferias, no procederá el pago por concepto de hospedaje para el personal supernumerario de las Administraciones Regionales en caso de lo correspondiente a la cena, aplicará únicamente a casos muy particulares en los cuales su llegada al centro de trabajo sea después de las 20:00 horas, esto según el Reglamento de Viáticos y de Transporte para Funcionarios Público, no obstante, quedará sujeto a la valoración de la Administración Regional correspondiente. </w:t>
      </w:r>
    </w:p>
    <w:p w14:paraId="5F08F6BB" w14:textId="77777777" w:rsidR="00BC0FE6" w:rsidRPr="005A0A7C" w:rsidRDefault="00BC0FE6" w:rsidP="005A3268">
      <w:pPr>
        <w:pStyle w:val="Prrafodelista"/>
        <w:ind w:left="0"/>
        <w:rPr>
          <w:rFonts w:ascii="Arial Narrow" w:hAnsi="Arial Narrow" w:cs="Arial"/>
        </w:rPr>
      </w:pPr>
    </w:p>
    <w:p w14:paraId="75EE41F5"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bookmarkStart w:id="4" w:name="_Hlk170894495"/>
      <w:r w:rsidRPr="005A0A7C">
        <w:rPr>
          <w:rFonts w:ascii="Arial Narrow" w:hAnsi="Arial Narrow" w:cs="Arial"/>
        </w:rPr>
        <w:t>El punto anterior, será una excepción para aquellos circuitos judiciales cuyas distancias entre un edificio es considerable e implique inversión de tiempo para su traslado, como es el caso del II Circuito Judicial de Alajuela (San Carlos) así como el I Circuito Judicial de la Zona Sur (Pérez Zeledón).</w:t>
      </w:r>
    </w:p>
    <w:bookmarkEnd w:id="4"/>
    <w:p w14:paraId="50654359" w14:textId="77777777" w:rsidR="00BC0FE6" w:rsidRPr="005A0A7C" w:rsidRDefault="00BC0FE6" w:rsidP="005A3268">
      <w:pPr>
        <w:spacing w:line="259" w:lineRule="auto"/>
        <w:jc w:val="both"/>
        <w:rPr>
          <w:rFonts w:ascii="Arial Narrow" w:hAnsi="Arial Narrow" w:cs="Arial"/>
        </w:rPr>
      </w:pPr>
    </w:p>
    <w:p w14:paraId="57D5842C"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Será responsabilidad de cada oficina que cuente con plazas de personal supernumerario (juzgador y/o técnico) a su cargo, disponer de un espacio físico en su centro de trabajo para que las personas puedan realizar sus labores correctamente.</w:t>
      </w:r>
    </w:p>
    <w:p w14:paraId="353C79D5" w14:textId="77777777" w:rsidR="00BC0FE6" w:rsidRPr="005A0A7C" w:rsidRDefault="00BC0FE6" w:rsidP="005A3268">
      <w:pPr>
        <w:spacing w:line="259" w:lineRule="auto"/>
        <w:jc w:val="both"/>
        <w:rPr>
          <w:rFonts w:ascii="Arial Narrow" w:hAnsi="Arial Narrow" w:cs="Arial"/>
        </w:rPr>
      </w:pPr>
    </w:p>
    <w:p w14:paraId="6C1A9ECB"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lang w:eastAsia="es-CR"/>
        </w:rPr>
        <w:t>El pago por concepto de viáticos será procedente cuando el personal supernumerario (juzgador y/o técnico), deba trasladarse por o más de 10 kilómetros desde su centro de trabajo, para realizar sus labores en algún despacho.</w:t>
      </w:r>
    </w:p>
    <w:p w14:paraId="544AB759" w14:textId="77777777" w:rsidR="00BC0FE6" w:rsidRPr="005A0A7C" w:rsidRDefault="00BC0FE6" w:rsidP="005A3268">
      <w:pPr>
        <w:pStyle w:val="Prrafodelista"/>
        <w:spacing w:line="259" w:lineRule="auto"/>
        <w:ind w:left="0"/>
        <w:jc w:val="both"/>
        <w:rPr>
          <w:rFonts w:ascii="Arial Narrow" w:hAnsi="Arial Narrow" w:cs="Arial"/>
        </w:rPr>
      </w:pPr>
    </w:p>
    <w:p w14:paraId="5168B6DC"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lang w:eastAsia="es-CR"/>
        </w:rPr>
        <w:t>Para el cobro de viáticos, el cálculo de las distancias se realizará de la siguiente forma: se considerarán como punto de origen la ubicación del “centro de trabajo” (edificio principal del circuito en el que</w:t>
      </w:r>
      <w:r w:rsidRPr="005A0A7C">
        <w:rPr>
          <w:rFonts w:ascii="Arial Narrow" w:hAnsi="Arial Narrow" w:cs="Arial"/>
        </w:rPr>
        <w:t xml:space="preserve"> se encuentra la Administración Regional), y como punto de destino, la ubicación del despacho al que se brindará la colaboración.</w:t>
      </w:r>
    </w:p>
    <w:p w14:paraId="393BF47B" w14:textId="77777777" w:rsidR="00BC0FE6" w:rsidRPr="005A0A7C" w:rsidRDefault="00BC0FE6" w:rsidP="005A3268">
      <w:pPr>
        <w:pStyle w:val="Prrafodelista"/>
        <w:ind w:left="0"/>
        <w:rPr>
          <w:rFonts w:ascii="Arial Narrow" w:hAnsi="Arial Narrow" w:cs="Arial"/>
        </w:rPr>
      </w:pPr>
    </w:p>
    <w:p w14:paraId="4C1EF55D"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lang w:eastAsia="es-CR"/>
        </w:rPr>
        <w:t>Respecto a los gastos de transporte durante las giras, se reconocerá el pago por los servicios de transporte público colectivo, el reconocimiento de ese pago se hará de acuerdo con la tarifa autorizada por el organismo regulador correspondiente. No aplicara el pago del servicio de taxi.</w:t>
      </w:r>
    </w:p>
    <w:p w14:paraId="5AB7D317" w14:textId="77777777" w:rsidR="00BC0FE6" w:rsidRPr="005A0A7C" w:rsidRDefault="00BC0FE6" w:rsidP="005A3268">
      <w:pPr>
        <w:spacing w:line="259" w:lineRule="auto"/>
        <w:jc w:val="both"/>
        <w:rPr>
          <w:rFonts w:ascii="Arial Narrow" w:hAnsi="Arial Narrow" w:cs="Arial"/>
        </w:rPr>
      </w:pPr>
    </w:p>
    <w:p w14:paraId="5929FF2F"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El pago por concepto de kilometraje es improcedente según la normativa de referencia.</w:t>
      </w:r>
    </w:p>
    <w:p w14:paraId="3B2F8225" w14:textId="77777777" w:rsidR="00BC0FE6" w:rsidRPr="005A0A7C" w:rsidRDefault="00BC0FE6" w:rsidP="005A3268">
      <w:pPr>
        <w:spacing w:line="259" w:lineRule="auto"/>
        <w:jc w:val="both"/>
        <w:rPr>
          <w:rFonts w:ascii="Arial Narrow" w:hAnsi="Arial Narrow" w:cs="Arial"/>
        </w:rPr>
      </w:pPr>
    </w:p>
    <w:p w14:paraId="28A097A4" w14:textId="77777777" w:rsidR="00BC0FE6" w:rsidRPr="005A0A7C" w:rsidRDefault="00BC0FE6" w:rsidP="005A3268">
      <w:pPr>
        <w:pStyle w:val="Prrafodelista"/>
        <w:numPr>
          <w:ilvl w:val="0"/>
          <w:numId w:val="3"/>
        </w:numPr>
        <w:suppressAutoHyphens w:val="0"/>
        <w:spacing w:line="259" w:lineRule="auto"/>
        <w:ind w:left="0"/>
        <w:jc w:val="both"/>
        <w:rPr>
          <w:rFonts w:ascii="Arial Narrow" w:hAnsi="Arial Narrow" w:cs="Arial"/>
        </w:rPr>
      </w:pPr>
      <w:r w:rsidRPr="005A0A7C">
        <w:rPr>
          <w:rFonts w:ascii="Arial Narrow" w:hAnsi="Arial Narrow" w:cs="Arial"/>
        </w:rPr>
        <w:t xml:space="preserve">De conformidad con el </w:t>
      </w:r>
      <w:r w:rsidRPr="005A0A7C">
        <w:rPr>
          <w:rFonts w:ascii="Arial Narrow" w:hAnsi="Arial Narrow" w:cs="Arial"/>
          <w:lang w:eastAsia="es-CR"/>
        </w:rPr>
        <w:t xml:space="preserve">“Reglamento de Gastos de Viaje y de Transporte para </w:t>
      </w:r>
      <w:proofErr w:type="gramStart"/>
      <w:r w:rsidRPr="005A0A7C">
        <w:rPr>
          <w:rFonts w:ascii="Arial Narrow" w:hAnsi="Arial Narrow" w:cs="Arial"/>
          <w:lang w:eastAsia="es-CR"/>
        </w:rPr>
        <w:t>Funcionarios</w:t>
      </w:r>
      <w:proofErr w:type="gramEnd"/>
      <w:r w:rsidRPr="005A0A7C">
        <w:rPr>
          <w:rFonts w:ascii="Arial Narrow" w:hAnsi="Arial Narrow" w:cs="Arial"/>
          <w:lang w:eastAsia="es-CR"/>
        </w:rPr>
        <w:t xml:space="preserve"> Públicos (autorizado por la Contraloría General de la Republica)”, se establece que cuando un funcionario o funcionaria realice una gira, la tarifa que se aplicará será la que corresponda a los servicios utilizados. Para tales efectos, se considera el inicio de una gira, la hora en que el funcionario o funcionaria inicie el viaje hacia el lugar de destino. De la misma forma, se considera concluida, cuando el funcionario o funcionaria regresa a su sede de trabajo, o en su defecto, a su domicilio, para lo cual se aplicarán las siguientes normas: </w:t>
      </w:r>
    </w:p>
    <w:p w14:paraId="33E62C05" w14:textId="77777777" w:rsidR="00BC0FE6" w:rsidRPr="005A0A7C" w:rsidRDefault="00BC0FE6" w:rsidP="005A3268">
      <w:pPr>
        <w:spacing w:line="259" w:lineRule="auto"/>
        <w:jc w:val="both"/>
        <w:rPr>
          <w:rFonts w:ascii="Arial Narrow" w:hAnsi="Arial Narrow" w:cs="Arial"/>
        </w:rPr>
      </w:pPr>
    </w:p>
    <w:p w14:paraId="2033938F" w14:textId="77777777" w:rsidR="00BC0FE6" w:rsidRPr="005A0A7C" w:rsidRDefault="00BC0FE6" w:rsidP="005A3268">
      <w:pPr>
        <w:pStyle w:val="Prrafodelista"/>
        <w:numPr>
          <w:ilvl w:val="0"/>
          <w:numId w:val="4"/>
        </w:numPr>
        <w:suppressAutoHyphens w:val="0"/>
        <w:spacing w:line="259" w:lineRule="auto"/>
        <w:ind w:left="0"/>
        <w:jc w:val="both"/>
        <w:rPr>
          <w:rFonts w:ascii="Arial Narrow" w:hAnsi="Arial Narrow" w:cs="Arial"/>
          <w:lang w:eastAsia="es-CR"/>
        </w:rPr>
      </w:pPr>
      <w:r w:rsidRPr="005A0A7C">
        <w:rPr>
          <w:rFonts w:ascii="Arial Narrow" w:hAnsi="Arial Narrow" w:cs="Arial"/>
          <w:lang w:eastAsia="es-CR"/>
        </w:rPr>
        <w:t xml:space="preserve">Desayuno: Se reconocerá cuando la gira se inicie antes de o a las siete horas. </w:t>
      </w:r>
    </w:p>
    <w:p w14:paraId="75B0A352" w14:textId="77777777" w:rsidR="00BC0FE6" w:rsidRPr="005A0A7C" w:rsidRDefault="00BC0FE6" w:rsidP="005A3268">
      <w:pPr>
        <w:pStyle w:val="Prrafodelista"/>
        <w:spacing w:line="259" w:lineRule="auto"/>
        <w:ind w:left="0"/>
        <w:jc w:val="both"/>
        <w:rPr>
          <w:rFonts w:ascii="Arial Narrow" w:hAnsi="Arial Narrow" w:cs="Arial"/>
          <w:lang w:eastAsia="es-CR"/>
        </w:rPr>
      </w:pPr>
    </w:p>
    <w:p w14:paraId="147680D8" w14:textId="77777777" w:rsidR="00BC0FE6" w:rsidRPr="005A0A7C" w:rsidRDefault="00BC0FE6" w:rsidP="005A3268">
      <w:pPr>
        <w:pStyle w:val="Prrafodelista"/>
        <w:numPr>
          <w:ilvl w:val="0"/>
          <w:numId w:val="4"/>
        </w:numPr>
        <w:suppressAutoHyphens w:val="0"/>
        <w:spacing w:line="259" w:lineRule="auto"/>
        <w:ind w:left="0"/>
        <w:jc w:val="both"/>
        <w:rPr>
          <w:rFonts w:ascii="Arial Narrow" w:hAnsi="Arial Narrow" w:cs="Arial"/>
          <w:lang w:eastAsia="es-CR"/>
        </w:rPr>
      </w:pPr>
      <w:r w:rsidRPr="005A0A7C">
        <w:rPr>
          <w:rFonts w:ascii="Arial Narrow" w:hAnsi="Arial Narrow" w:cs="Arial"/>
          <w:lang w:eastAsia="es-CR"/>
        </w:rPr>
        <w:t>Almuerzo: Se cubrirá cuando la partida se realice antes de o a las once horas y el regreso después de las catorce horas.</w:t>
      </w:r>
    </w:p>
    <w:p w14:paraId="2139A248" w14:textId="77777777" w:rsidR="00BC0FE6" w:rsidRPr="005A0A7C" w:rsidRDefault="00BC0FE6" w:rsidP="005A3268">
      <w:pPr>
        <w:pStyle w:val="Prrafodelista"/>
        <w:ind w:left="0"/>
        <w:rPr>
          <w:rFonts w:ascii="Arial Narrow" w:hAnsi="Arial Narrow" w:cs="Arial"/>
          <w:lang w:eastAsia="es-CR"/>
        </w:rPr>
      </w:pPr>
    </w:p>
    <w:p w14:paraId="3B136665" w14:textId="77777777" w:rsidR="00BC0FE6" w:rsidRPr="005A0A7C" w:rsidRDefault="00BC0FE6" w:rsidP="005A3268">
      <w:pPr>
        <w:pStyle w:val="Prrafodelista"/>
        <w:numPr>
          <w:ilvl w:val="0"/>
          <w:numId w:val="4"/>
        </w:numPr>
        <w:suppressAutoHyphens w:val="0"/>
        <w:spacing w:line="259" w:lineRule="auto"/>
        <w:ind w:left="0"/>
        <w:jc w:val="both"/>
        <w:rPr>
          <w:rFonts w:ascii="Arial Narrow" w:hAnsi="Arial Narrow" w:cs="Arial"/>
          <w:lang w:eastAsia="es-CR"/>
        </w:rPr>
      </w:pPr>
      <w:r w:rsidRPr="005A0A7C">
        <w:rPr>
          <w:rFonts w:ascii="Arial Narrow" w:hAnsi="Arial Narrow" w:cs="Arial"/>
          <w:lang w:eastAsia="es-CR"/>
        </w:rPr>
        <w:t xml:space="preserve">Cena: Se pagará cuando la partida se realice antes de o a las dieciocho horas y el regreso después de las veinte horas. En casos especiales, previa justificación de la Administración podrá ampliarse el límite de la partida, siempre y cuando el regreso se produzca después de las veinte horas y el funcionario o funcionaria haya laborado en forma continua antes de su partida. </w:t>
      </w:r>
    </w:p>
    <w:p w14:paraId="724BFA0B" w14:textId="77777777" w:rsidR="00BC0FE6" w:rsidRPr="005A0A7C" w:rsidRDefault="00BC0FE6" w:rsidP="005A3268">
      <w:pPr>
        <w:pStyle w:val="Prrafodelista"/>
        <w:ind w:left="0"/>
        <w:rPr>
          <w:rFonts w:ascii="Arial Narrow" w:hAnsi="Arial Narrow" w:cs="Arial"/>
          <w:lang w:eastAsia="es-CR"/>
        </w:rPr>
      </w:pPr>
    </w:p>
    <w:p w14:paraId="67C47187" w14:textId="77777777" w:rsidR="00BC0FE6" w:rsidRPr="005A0A7C" w:rsidRDefault="00BC0FE6" w:rsidP="005A3268">
      <w:pPr>
        <w:pStyle w:val="Prrafodelista"/>
        <w:numPr>
          <w:ilvl w:val="0"/>
          <w:numId w:val="4"/>
        </w:numPr>
        <w:suppressAutoHyphens w:val="0"/>
        <w:spacing w:line="259" w:lineRule="auto"/>
        <w:ind w:left="0"/>
        <w:jc w:val="both"/>
        <w:rPr>
          <w:rFonts w:ascii="Arial Narrow" w:hAnsi="Arial Narrow" w:cs="Arial"/>
          <w:lang w:eastAsia="es-CR"/>
        </w:rPr>
      </w:pPr>
      <w:r w:rsidRPr="005A0A7C">
        <w:rPr>
          <w:rFonts w:ascii="Arial Narrow" w:hAnsi="Arial Narrow" w:cs="Arial"/>
          <w:lang w:eastAsia="es-CR"/>
        </w:rPr>
        <w:t>Hospedaje: Se reconocerá cuando el servidor o servidora se viere obligado u obligada a pernoctar fuera de su domicilio, debido a la gira.</w:t>
      </w:r>
    </w:p>
    <w:p w14:paraId="764439DB" w14:textId="77777777" w:rsidR="00BC0FE6" w:rsidRPr="005A0A7C" w:rsidRDefault="00BC0FE6" w:rsidP="005A3268">
      <w:pPr>
        <w:pStyle w:val="Prrafodelista"/>
        <w:suppressAutoHyphens w:val="0"/>
        <w:ind w:left="0"/>
        <w:jc w:val="both"/>
        <w:rPr>
          <w:rFonts w:ascii="Arial Narrow" w:hAnsi="Arial Narrow" w:cs="Arial"/>
          <w:color w:val="0070C0"/>
          <w:lang w:eastAsia="es-CR"/>
        </w:rPr>
      </w:pPr>
    </w:p>
    <w:p w14:paraId="326C8364" w14:textId="77777777" w:rsidR="00BC0FE6" w:rsidRPr="005A0A7C" w:rsidRDefault="00BC0FE6" w:rsidP="005A3268">
      <w:pPr>
        <w:pStyle w:val="Prrafodelista"/>
        <w:numPr>
          <w:ilvl w:val="0"/>
          <w:numId w:val="3"/>
        </w:numPr>
        <w:suppressAutoHyphens w:val="0"/>
        <w:ind w:left="0"/>
        <w:jc w:val="both"/>
        <w:rPr>
          <w:rFonts w:ascii="Arial Narrow" w:hAnsi="Arial Narrow" w:cs="Arial"/>
          <w:lang w:eastAsia="es-CR"/>
        </w:rPr>
      </w:pPr>
      <w:r w:rsidRPr="005A0A7C">
        <w:rPr>
          <w:rFonts w:ascii="Arial Narrow" w:hAnsi="Arial Narrow" w:cs="Arial"/>
          <w:lang w:eastAsia="es-CR"/>
        </w:rPr>
        <w:t xml:space="preserve">Cuando el personal supernumerario deba trasladarse a un despacho diferente al asignado inicialmente, y esto implique vivir en la zona, lo correspondiente será valorar el trámite de pago de </w:t>
      </w:r>
      <w:proofErr w:type="spellStart"/>
      <w:r w:rsidRPr="005A0A7C">
        <w:rPr>
          <w:rFonts w:ascii="Arial Narrow" w:hAnsi="Arial Narrow" w:cs="Arial"/>
          <w:lang w:eastAsia="es-CR"/>
        </w:rPr>
        <w:t>zonaje</w:t>
      </w:r>
      <w:proofErr w:type="spellEnd"/>
      <w:r w:rsidRPr="005A0A7C">
        <w:rPr>
          <w:rFonts w:ascii="Arial Narrow" w:hAnsi="Arial Narrow" w:cs="Arial"/>
          <w:lang w:eastAsia="es-CR"/>
        </w:rPr>
        <w:t xml:space="preserve">, basado en el reglamento estipulado por la Dirección de Gestión Humana. </w:t>
      </w:r>
    </w:p>
    <w:p w14:paraId="07F95E7C" w14:textId="77777777" w:rsidR="00BC0FE6" w:rsidRPr="005A0A7C" w:rsidRDefault="00BC0FE6" w:rsidP="005A3268">
      <w:pPr>
        <w:shd w:val="clear" w:color="auto" w:fill="FFFFFF"/>
        <w:spacing w:line="259" w:lineRule="auto"/>
        <w:jc w:val="both"/>
        <w:rPr>
          <w:rFonts w:ascii="Arial Narrow" w:hAnsi="Arial Narrow" w:cs="Arial"/>
        </w:rPr>
      </w:pPr>
      <w:r w:rsidRPr="005A0A7C">
        <w:rPr>
          <w:rFonts w:ascii="Arial Narrow" w:hAnsi="Arial Narrow" w:cs="Arial"/>
        </w:rPr>
        <w:t>Lineamientos para la Formulación de Planes de Trabajo</w:t>
      </w:r>
    </w:p>
    <w:p w14:paraId="04AA75A5" w14:textId="77777777" w:rsidR="00BC0FE6" w:rsidRPr="005A0A7C" w:rsidRDefault="00BC0FE6" w:rsidP="005A3268">
      <w:pPr>
        <w:shd w:val="clear" w:color="auto" w:fill="FFFFFF"/>
        <w:spacing w:line="259" w:lineRule="auto"/>
        <w:jc w:val="both"/>
        <w:rPr>
          <w:rFonts w:ascii="Arial Narrow" w:hAnsi="Arial Narrow" w:cs="Arial"/>
          <w:u w:val="single"/>
        </w:rPr>
      </w:pPr>
    </w:p>
    <w:p w14:paraId="1A6FF011" w14:textId="77777777" w:rsidR="00BC0FE6" w:rsidRPr="005A0A7C" w:rsidRDefault="00BC0FE6" w:rsidP="005A3268">
      <w:pPr>
        <w:spacing w:line="259" w:lineRule="auto"/>
        <w:jc w:val="both"/>
        <w:rPr>
          <w:rFonts w:ascii="Arial Narrow" w:hAnsi="Arial Narrow" w:cs="Arial"/>
          <w:lang w:eastAsia="es-CR"/>
        </w:rPr>
      </w:pPr>
      <w:r w:rsidRPr="005A0A7C">
        <w:rPr>
          <w:rFonts w:ascii="Arial Narrow" w:hAnsi="Arial Narrow" w:cs="Arial"/>
          <w:lang w:eastAsia="es-CR"/>
        </w:rPr>
        <w:t>Para la formulación de los planes de trabajo a desarrollar de manera mensual por las personas juzgadoras y técnicas supernumerarias, las Administraciones Regionales y/o del CACMFJ en conjunto con las personas profesionales de la Dirección de Planificación de cada Circuito (en el caso de los que cuentan con dicho recurso), tomarán en cuenta lo siguiente:</w:t>
      </w:r>
    </w:p>
    <w:p w14:paraId="53598DB2" w14:textId="77777777" w:rsidR="005A3268" w:rsidRPr="005A0A7C" w:rsidRDefault="005A3268" w:rsidP="005A3268">
      <w:pPr>
        <w:spacing w:line="259" w:lineRule="auto"/>
        <w:jc w:val="both"/>
        <w:rPr>
          <w:rFonts w:ascii="Arial Narrow" w:hAnsi="Arial Narrow" w:cs="Arial"/>
        </w:rPr>
      </w:pPr>
    </w:p>
    <w:p w14:paraId="2D9DD77B"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Cuando se deba brindar colaboración a los despachos de las periferias, se procurará la realización de las labores primordialmente de manera remota, de modo que el personal supernumerario realice sus labores por medio de los diversos sistemas informáticos, pero ubicados físicamente desde su estación de trabajo, en el edificio principal de cada circuito.</w:t>
      </w:r>
    </w:p>
    <w:p w14:paraId="1B606027" w14:textId="77777777" w:rsidR="00BC0FE6" w:rsidRPr="005A0A7C" w:rsidRDefault="00BC0FE6" w:rsidP="005A3268">
      <w:pPr>
        <w:pStyle w:val="Prrafodelista"/>
        <w:ind w:left="0"/>
        <w:jc w:val="both"/>
        <w:rPr>
          <w:rFonts w:ascii="Arial Narrow" w:hAnsi="Arial Narrow" w:cs="Arial"/>
          <w:lang w:eastAsia="es-CR"/>
        </w:rPr>
      </w:pPr>
    </w:p>
    <w:p w14:paraId="5B55832B"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Cuando se deba brindar colaboración a los despachos de las periferias, se procurará la realización de las labores de manera remota, de modo que el personal supernumerario realice sus labores por medio de los diversos sistemas informáticos, pero ubicados en su domicilio a través del teletrabajo (en los casos en que sea procedente dicha modalidad de trabajo).</w:t>
      </w:r>
    </w:p>
    <w:p w14:paraId="7A960200" w14:textId="77777777" w:rsidR="00BC0FE6" w:rsidRPr="005A0A7C" w:rsidRDefault="00BC0FE6" w:rsidP="005A3268">
      <w:pPr>
        <w:pStyle w:val="Prrafodelista"/>
        <w:ind w:left="0"/>
        <w:jc w:val="both"/>
        <w:rPr>
          <w:rFonts w:ascii="Arial Narrow" w:hAnsi="Arial Narrow" w:cs="Arial"/>
          <w:lang w:eastAsia="es-CR"/>
        </w:rPr>
      </w:pPr>
    </w:p>
    <w:p w14:paraId="67D7C417"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Cuando se deban atender sustituciones de personal técnico en los despachos de las periferias, la Administración Regional consultará al despacho que requiera la colaboración, sobre la posibilidad de que la persona técnica supernumeraria que asumirá la suplencia pueda realizar las labores de manera remota por medio de los diversos sistemas informativos, pero ubicados físicamente desde su estación de trabajo, en el edificio principal de cada circuito. De no proceder, la persona técnica supernumeraria deberá trasladarse al respectivo despacho, y la Administración deberá girar los respectivos viáticos según corresponda.</w:t>
      </w:r>
    </w:p>
    <w:p w14:paraId="5B8A9D91" w14:textId="77777777" w:rsidR="00BC0FE6" w:rsidRPr="005A0A7C" w:rsidRDefault="00BC0FE6" w:rsidP="005A3268">
      <w:pPr>
        <w:pStyle w:val="Prrafodelista"/>
        <w:ind w:left="0"/>
        <w:jc w:val="both"/>
        <w:rPr>
          <w:rFonts w:ascii="Arial Narrow" w:hAnsi="Arial Narrow" w:cs="Arial"/>
          <w:lang w:eastAsia="es-CR"/>
        </w:rPr>
      </w:pPr>
    </w:p>
    <w:p w14:paraId="6FCB9D23"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 xml:space="preserve">Las sustituciones con personal supernumerario en los despachos de las periferias que cuenten con señalamientos agendados; o bien, en despachos unipersonales, serán atendidos de manera </w:t>
      </w:r>
      <w:r w:rsidRPr="005A0A7C">
        <w:rPr>
          <w:rFonts w:ascii="Arial Narrow" w:hAnsi="Arial Narrow" w:cs="Arial"/>
          <w:lang w:eastAsia="es-CR"/>
        </w:rPr>
        <w:lastRenderedPageBreak/>
        <w:t>presencial sin más trámite, por lo que será viable el pago de los respectivos viáticos según corresponda.</w:t>
      </w:r>
    </w:p>
    <w:p w14:paraId="71584345" w14:textId="77777777" w:rsidR="005A3268" w:rsidRPr="005A0A7C" w:rsidRDefault="005A3268" w:rsidP="005A3268">
      <w:pPr>
        <w:pStyle w:val="Prrafodelista"/>
        <w:suppressAutoHyphens w:val="0"/>
        <w:ind w:left="0"/>
        <w:jc w:val="both"/>
        <w:rPr>
          <w:rFonts w:ascii="Arial Narrow" w:hAnsi="Arial Narrow" w:cs="Arial"/>
          <w:lang w:eastAsia="es-CR"/>
        </w:rPr>
      </w:pPr>
    </w:p>
    <w:p w14:paraId="62199C22"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Durante la formulación de planes de trabajo para la realización de audiencias, deberá considerarse de manera prioritaria la posibilidad de celebrarlas de manera virtual; siempre y cuando, la materia y el tipo de asunto así lo permita.</w:t>
      </w:r>
    </w:p>
    <w:p w14:paraId="0B87BE1D" w14:textId="77777777" w:rsidR="00BC0FE6" w:rsidRPr="005A0A7C" w:rsidRDefault="00BC0FE6" w:rsidP="005A3268">
      <w:pPr>
        <w:pStyle w:val="Prrafodelista"/>
        <w:ind w:left="0"/>
        <w:jc w:val="both"/>
        <w:rPr>
          <w:rFonts w:ascii="Arial Narrow" w:hAnsi="Arial Narrow" w:cs="Arial"/>
          <w:lang w:eastAsia="es-CR"/>
        </w:rPr>
      </w:pPr>
    </w:p>
    <w:p w14:paraId="71951861" w14:textId="77777777" w:rsidR="00BC0FE6" w:rsidRPr="005A0A7C" w:rsidRDefault="00BC0FE6" w:rsidP="005A3268">
      <w:pPr>
        <w:pStyle w:val="Prrafodelista"/>
        <w:numPr>
          <w:ilvl w:val="0"/>
          <w:numId w:val="6"/>
        </w:numPr>
        <w:suppressAutoHyphens w:val="0"/>
        <w:ind w:left="0"/>
        <w:jc w:val="both"/>
        <w:rPr>
          <w:rFonts w:ascii="Arial Narrow" w:hAnsi="Arial Narrow" w:cs="Arial"/>
          <w:lang w:eastAsia="es-CR"/>
        </w:rPr>
      </w:pPr>
      <w:r w:rsidRPr="005A0A7C">
        <w:rPr>
          <w:rFonts w:ascii="Arial Narrow" w:hAnsi="Arial Narrow" w:cs="Arial"/>
          <w:lang w:eastAsia="es-CR"/>
        </w:rPr>
        <w:t>En la ejecución de planes de trabajo para la realización de audiencias presenciales a ejecutarse por las personas juzgadoras supernumerarias, resultará viable el pago de los respectivos viáticos según corresponda.</w:t>
      </w:r>
    </w:p>
    <w:p w14:paraId="7FD523C4" w14:textId="77777777" w:rsidR="00BC0FE6" w:rsidRPr="005A0A7C" w:rsidRDefault="00BC0FE6" w:rsidP="005A3268">
      <w:pPr>
        <w:shd w:val="clear" w:color="auto" w:fill="FFFFFF"/>
        <w:spacing w:line="259" w:lineRule="auto"/>
        <w:jc w:val="both"/>
        <w:rPr>
          <w:rFonts w:ascii="Arial Narrow" w:hAnsi="Arial Narrow" w:cs="Arial"/>
        </w:rPr>
      </w:pPr>
      <w:r w:rsidRPr="005A0A7C">
        <w:rPr>
          <w:rFonts w:ascii="Arial Narrow" w:hAnsi="Arial Narrow" w:cs="Arial"/>
        </w:rPr>
        <w:t xml:space="preserve">Lineamientos para las Administraciones Regionales </w:t>
      </w:r>
    </w:p>
    <w:p w14:paraId="2ECA1103" w14:textId="77777777" w:rsidR="00BC0FE6" w:rsidRPr="005A0A7C" w:rsidRDefault="00BC0FE6" w:rsidP="005A3268">
      <w:pPr>
        <w:shd w:val="clear" w:color="auto" w:fill="FFFFFF"/>
        <w:spacing w:line="259" w:lineRule="auto"/>
        <w:jc w:val="both"/>
        <w:rPr>
          <w:rFonts w:ascii="Arial Narrow" w:hAnsi="Arial Narrow" w:cs="Arial"/>
          <w:u w:val="single"/>
        </w:rPr>
      </w:pPr>
    </w:p>
    <w:p w14:paraId="18FB6ED8" w14:textId="77777777" w:rsidR="00BC0FE6" w:rsidRPr="005A0A7C" w:rsidRDefault="00BC0FE6" w:rsidP="005A3268">
      <w:pPr>
        <w:pStyle w:val="Prrafodelista"/>
        <w:numPr>
          <w:ilvl w:val="0"/>
          <w:numId w:val="5"/>
        </w:numPr>
        <w:suppressAutoHyphens w:val="0"/>
        <w:spacing w:line="259" w:lineRule="auto"/>
        <w:ind w:left="0"/>
        <w:jc w:val="both"/>
        <w:rPr>
          <w:rFonts w:ascii="Arial Narrow" w:eastAsiaTheme="minorHAnsi" w:hAnsi="Arial Narrow" w:cs="Arial"/>
          <w:lang w:eastAsia="en-US"/>
        </w:rPr>
      </w:pPr>
      <w:r w:rsidRPr="005A0A7C">
        <w:rPr>
          <w:rFonts w:ascii="Arial Narrow" w:hAnsi="Arial Narrow" w:cs="Arial"/>
        </w:rPr>
        <w:t xml:space="preserve">Las personas técnicas supernumerarias adscritas a las Administraciones Regionales podrán realizar el cobro de viáticos, cuando deban trasladarse a cubrir suplencias o planes de trabajo en los despachos que se encuentran en las periferias de los circuitos a los que pertenecen, de conformidad con lo establecido en el Reglamento de Gastos de Viaje y de Transporte para </w:t>
      </w:r>
      <w:proofErr w:type="gramStart"/>
      <w:r w:rsidRPr="005A0A7C">
        <w:rPr>
          <w:rFonts w:ascii="Arial Narrow" w:hAnsi="Arial Narrow" w:cs="Arial"/>
        </w:rPr>
        <w:t>Funcionarios</w:t>
      </w:r>
      <w:proofErr w:type="gramEnd"/>
      <w:r w:rsidRPr="005A0A7C">
        <w:rPr>
          <w:rFonts w:ascii="Arial Narrow" w:hAnsi="Arial Narrow" w:cs="Arial"/>
        </w:rPr>
        <w:t xml:space="preserve"> Públicos de la Contraloría General de la República. </w:t>
      </w:r>
      <w:r w:rsidRPr="005A0A7C">
        <w:rPr>
          <w:rFonts w:ascii="Arial Narrow" w:hAnsi="Arial Narrow" w:cs="Arial"/>
          <w:lang w:eastAsia="es-CR"/>
        </w:rPr>
        <w:t xml:space="preserve">Además, se deberá contemplar el trámite de pago de </w:t>
      </w:r>
      <w:proofErr w:type="spellStart"/>
      <w:r w:rsidRPr="005A0A7C">
        <w:rPr>
          <w:rFonts w:ascii="Arial Narrow" w:hAnsi="Arial Narrow" w:cs="Arial"/>
          <w:lang w:eastAsia="es-CR"/>
        </w:rPr>
        <w:t>zonaje</w:t>
      </w:r>
      <w:proofErr w:type="spellEnd"/>
      <w:r w:rsidRPr="005A0A7C">
        <w:rPr>
          <w:rFonts w:ascii="Arial Narrow" w:hAnsi="Arial Narrow" w:cs="Arial"/>
          <w:lang w:eastAsia="es-CR"/>
        </w:rPr>
        <w:t>, cuando el desarrollo de sus funciones implique vivir en el lugar asignado, según los lineamientos estipulados para los efectos.</w:t>
      </w:r>
    </w:p>
    <w:p w14:paraId="00D80447" w14:textId="77777777" w:rsidR="00BC0FE6" w:rsidRPr="005A0A7C" w:rsidRDefault="00BC0FE6" w:rsidP="005A3268">
      <w:pPr>
        <w:pStyle w:val="Prrafodelista"/>
        <w:spacing w:line="259" w:lineRule="auto"/>
        <w:ind w:left="0"/>
        <w:jc w:val="both"/>
        <w:rPr>
          <w:rFonts w:ascii="Arial Narrow" w:hAnsi="Arial Narrow" w:cs="Arial"/>
        </w:rPr>
      </w:pPr>
    </w:p>
    <w:p w14:paraId="7A28C6EB" w14:textId="77777777" w:rsidR="00BC0FE6" w:rsidRPr="005A0A7C" w:rsidRDefault="00BC0FE6" w:rsidP="005A3268">
      <w:pPr>
        <w:pStyle w:val="Prrafodelista"/>
        <w:numPr>
          <w:ilvl w:val="0"/>
          <w:numId w:val="5"/>
        </w:numPr>
        <w:suppressAutoHyphens w:val="0"/>
        <w:spacing w:line="259" w:lineRule="auto"/>
        <w:ind w:left="0"/>
        <w:jc w:val="both"/>
        <w:rPr>
          <w:rFonts w:ascii="Arial Narrow" w:hAnsi="Arial Narrow" w:cs="Arial"/>
        </w:rPr>
      </w:pPr>
      <w:r w:rsidRPr="005A0A7C">
        <w:rPr>
          <w:rFonts w:ascii="Arial Narrow" w:hAnsi="Arial Narrow" w:cs="Arial"/>
          <w:lang w:eastAsia="es-CR"/>
        </w:rPr>
        <w:t>En el caso de las plazas de personal supernumerario adscrito a las Administraciones Regionales, que hayan sido trasladadas a cualquier otro despacho en acatamiento de directrices de instancias superiores, el centro de trabajo será el despacho al que fueron asignados.</w:t>
      </w:r>
    </w:p>
    <w:p w14:paraId="09642F3E" w14:textId="77777777" w:rsidR="00BC0FE6" w:rsidRPr="005A0A7C" w:rsidRDefault="00BC0FE6" w:rsidP="005A3268">
      <w:pPr>
        <w:pStyle w:val="Prrafodelista"/>
        <w:spacing w:line="259" w:lineRule="auto"/>
        <w:ind w:left="0"/>
        <w:jc w:val="both"/>
        <w:rPr>
          <w:rFonts w:ascii="Arial Narrow" w:hAnsi="Arial Narrow" w:cs="Arial"/>
        </w:rPr>
      </w:pPr>
    </w:p>
    <w:p w14:paraId="637524EE" w14:textId="77777777" w:rsidR="00BC0FE6" w:rsidRPr="005A0A7C" w:rsidRDefault="00BC0FE6" w:rsidP="005A3268">
      <w:pPr>
        <w:pStyle w:val="Prrafodelista"/>
        <w:numPr>
          <w:ilvl w:val="0"/>
          <w:numId w:val="5"/>
        </w:numPr>
        <w:suppressAutoHyphens w:val="0"/>
        <w:spacing w:line="259" w:lineRule="auto"/>
        <w:ind w:left="0"/>
        <w:jc w:val="both"/>
        <w:rPr>
          <w:rFonts w:ascii="Arial Narrow" w:hAnsi="Arial Narrow" w:cs="Arial"/>
        </w:rPr>
      </w:pPr>
      <w:r w:rsidRPr="005A0A7C">
        <w:rPr>
          <w:rFonts w:ascii="Arial Narrow" w:hAnsi="Arial Narrow" w:cs="Arial"/>
        </w:rPr>
        <w:t>Los vehículos asignados a las Administraciones Regionales se utilizan para atender las diversas necesidades de dichas oficinas según el “Reglamento para el uso, control y mantenimiento de los vehículos del Poder Judicial”, por lo que no estarán a disposición del personal supernumerario (juzgador y/o técnico), cuando les corresponda atender sustituciones o colaboraciones en los despachos.  No obstante, en caso de que una gira de la Administración Regional coincida con la atención del personal supernumerario a una oficina en particular, podrá ser trasladado en el mismo vehículo, en cuyo caso no podrá cobrar gastos de transporte.</w:t>
      </w:r>
    </w:p>
    <w:p w14:paraId="20169C46" w14:textId="77777777" w:rsidR="00BC0FE6" w:rsidRPr="005A0A7C" w:rsidRDefault="00BC0FE6" w:rsidP="005A3268">
      <w:pPr>
        <w:pStyle w:val="Sinespaciado"/>
        <w:rPr>
          <w:rFonts w:ascii="Arial Narrow" w:hAnsi="Arial Narrow" w:cs="Arial"/>
          <w:sz w:val="24"/>
          <w:szCs w:val="24"/>
          <w:lang w:val="es-ES"/>
        </w:rPr>
      </w:pPr>
    </w:p>
    <w:p w14:paraId="1E75ECCB" w14:textId="77777777" w:rsidR="00BC0FE6" w:rsidRPr="005A0A7C" w:rsidRDefault="00BC0FE6" w:rsidP="005A3268">
      <w:pPr>
        <w:shd w:val="clear" w:color="auto" w:fill="FFFFFF"/>
        <w:spacing w:line="259" w:lineRule="auto"/>
        <w:jc w:val="both"/>
        <w:rPr>
          <w:rFonts w:ascii="Arial Narrow" w:hAnsi="Arial Narrow" w:cs="Arial"/>
        </w:rPr>
      </w:pPr>
      <w:r w:rsidRPr="005A0A7C">
        <w:rPr>
          <w:rFonts w:ascii="Arial Narrow" w:hAnsi="Arial Narrow" w:cs="Arial"/>
        </w:rPr>
        <w:t>Lineamientos para el CACMFJ</w:t>
      </w:r>
    </w:p>
    <w:p w14:paraId="2D09E68A" w14:textId="77777777" w:rsidR="00BC0FE6" w:rsidRPr="005A0A7C" w:rsidRDefault="00BC0FE6" w:rsidP="005A3268">
      <w:pPr>
        <w:shd w:val="clear" w:color="auto" w:fill="FFFFFF"/>
        <w:spacing w:line="259" w:lineRule="auto"/>
        <w:jc w:val="both"/>
        <w:rPr>
          <w:rFonts w:ascii="Arial Narrow" w:hAnsi="Arial Narrow" w:cs="Arial"/>
          <w:u w:val="single"/>
        </w:rPr>
      </w:pPr>
    </w:p>
    <w:p w14:paraId="6FDDF7D9" w14:textId="77777777" w:rsidR="00BC0FE6" w:rsidRPr="005A0A7C" w:rsidRDefault="00BC0FE6" w:rsidP="005A3268">
      <w:pPr>
        <w:pStyle w:val="Prrafodelista"/>
        <w:numPr>
          <w:ilvl w:val="0"/>
          <w:numId w:val="7"/>
        </w:numPr>
        <w:suppressAutoHyphens w:val="0"/>
        <w:spacing w:line="259" w:lineRule="auto"/>
        <w:ind w:left="0"/>
        <w:jc w:val="both"/>
        <w:rPr>
          <w:rFonts w:ascii="Arial Narrow" w:hAnsi="Arial Narrow" w:cs="Arial"/>
        </w:rPr>
      </w:pPr>
      <w:r w:rsidRPr="005A0A7C">
        <w:rPr>
          <w:rFonts w:ascii="Arial Narrow" w:hAnsi="Arial Narrow" w:cs="Arial"/>
          <w:lang w:eastAsia="es-CR"/>
        </w:rPr>
        <w:t xml:space="preserve">Las plazas de personal supernumerario (juzgador y/o técnico) adscrito al CACMFJ, podrán gestionar el cobro de viáticos, cuando realicen sus funciones fuera de su centro de trabajo, en la atención de planes que podrían desarrollarse en cualquier despacho a nivel nacional; lo anterior, en apego a las directrices incluidas en el presente documento. Además, se deberá contemplar el trámite de pago de </w:t>
      </w:r>
      <w:proofErr w:type="spellStart"/>
      <w:r w:rsidRPr="005A0A7C">
        <w:rPr>
          <w:rFonts w:ascii="Arial Narrow" w:hAnsi="Arial Narrow" w:cs="Arial"/>
          <w:lang w:eastAsia="es-CR"/>
        </w:rPr>
        <w:t>zonaje</w:t>
      </w:r>
      <w:proofErr w:type="spellEnd"/>
      <w:r w:rsidRPr="005A0A7C">
        <w:rPr>
          <w:rFonts w:ascii="Arial Narrow" w:hAnsi="Arial Narrow" w:cs="Arial"/>
          <w:lang w:eastAsia="es-CR"/>
        </w:rPr>
        <w:t>, cuando el desarrollo de sus funciones implique vivir en el lugar asignado, según los lineamientos estipulados para los efectos.</w:t>
      </w:r>
    </w:p>
    <w:p w14:paraId="317A371E" w14:textId="77777777" w:rsidR="00BC0FE6" w:rsidRPr="005A0A7C" w:rsidRDefault="00BC0FE6" w:rsidP="005A3268">
      <w:pPr>
        <w:pStyle w:val="Prrafodelista"/>
        <w:spacing w:line="259" w:lineRule="auto"/>
        <w:ind w:left="0"/>
        <w:jc w:val="both"/>
        <w:rPr>
          <w:rFonts w:ascii="Arial Narrow" w:hAnsi="Arial Narrow" w:cs="Arial"/>
        </w:rPr>
      </w:pPr>
    </w:p>
    <w:p w14:paraId="38A15A55" w14:textId="77777777" w:rsidR="00BC0FE6" w:rsidRPr="005A0A7C" w:rsidRDefault="00BC0FE6" w:rsidP="005A3268">
      <w:pPr>
        <w:pStyle w:val="Prrafodelista"/>
        <w:numPr>
          <w:ilvl w:val="0"/>
          <w:numId w:val="7"/>
        </w:numPr>
        <w:suppressAutoHyphens w:val="0"/>
        <w:spacing w:line="259" w:lineRule="auto"/>
        <w:ind w:left="0"/>
        <w:jc w:val="both"/>
        <w:rPr>
          <w:rFonts w:ascii="Arial Narrow" w:hAnsi="Arial Narrow" w:cs="Arial"/>
        </w:rPr>
      </w:pPr>
      <w:r w:rsidRPr="005A0A7C">
        <w:rPr>
          <w:rFonts w:ascii="Arial Narrow" w:hAnsi="Arial Narrow" w:cs="Arial"/>
          <w:lang w:eastAsia="es-CR"/>
        </w:rPr>
        <w:t xml:space="preserve">Para las plazas de personal supernumerario adscrito al CACMFJ, el “centro de trabajo” será el I Circuito Judicial de San José, siempre y cuando hayan sido trasladado de manera temporal a una zona determinada. </w:t>
      </w:r>
    </w:p>
    <w:p w14:paraId="21133FF4" w14:textId="77777777" w:rsidR="00BC0FE6" w:rsidRPr="005A0A7C" w:rsidRDefault="00BC0FE6" w:rsidP="005A3268">
      <w:pPr>
        <w:pStyle w:val="Prrafodelista"/>
        <w:spacing w:line="259" w:lineRule="auto"/>
        <w:ind w:left="0"/>
        <w:jc w:val="both"/>
        <w:rPr>
          <w:rFonts w:ascii="Arial Narrow" w:hAnsi="Arial Narrow" w:cs="Arial"/>
        </w:rPr>
      </w:pPr>
    </w:p>
    <w:p w14:paraId="7A893BA5" w14:textId="77777777" w:rsidR="00BC0FE6" w:rsidRPr="005A0A7C" w:rsidRDefault="00BC0FE6" w:rsidP="005A3268">
      <w:pPr>
        <w:pStyle w:val="Prrafodelista"/>
        <w:numPr>
          <w:ilvl w:val="0"/>
          <w:numId w:val="7"/>
        </w:numPr>
        <w:suppressAutoHyphens w:val="0"/>
        <w:spacing w:line="259" w:lineRule="auto"/>
        <w:ind w:left="0"/>
        <w:jc w:val="both"/>
        <w:rPr>
          <w:rFonts w:ascii="Arial Narrow" w:hAnsi="Arial Narrow" w:cs="Arial"/>
        </w:rPr>
      </w:pPr>
      <w:r w:rsidRPr="005A0A7C">
        <w:rPr>
          <w:rFonts w:ascii="Arial Narrow" w:hAnsi="Arial Narrow" w:cs="Arial"/>
          <w:lang w:eastAsia="es-CR"/>
        </w:rPr>
        <w:t>En el caso de las plazas de personal supernumerario del CACMFJ que hayan sido trasladadas a cualquier otro despacho en acatamiento de directrices de instancias superiores, el centro de trabajo será el despacho al que fueron asignados.</w:t>
      </w:r>
    </w:p>
    <w:p w14:paraId="7DC21822" w14:textId="77777777" w:rsidR="00BC0FE6" w:rsidRPr="005A0A7C" w:rsidRDefault="00BC0FE6" w:rsidP="005A3268">
      <w:pPr>
        <w:spacing w:line="259" w:lineRule="auto"/>
        <w:jc w:val="both"/>
        <w:rPr>
          <w:rFonts w:ascii="Arial Narrow" w:hAnsi="Arial Narrow" w:cs="Arial"/>
        </w:rPr>
      </w:pPr>
    </w:p>
    <w:p w14:paraId="1A24BF79" w14:textId="77777777" w:rsidR="00BC0FE6" w:rsidRPr="005A0A7C" w:rsidRDefault="00BC0FE6" w:rsidP="005A3268">
      <w:pPr>
        <w:pStyle w:val="Prrafodelista"/>
        <w:numPr>
          <w:ilvl w:val="0"/>
          <w:numId w:val="7"/>
        </w:numPr>
        <w:suppressAutoHyphens w:val="0"/>
        <w:spacing w:line="259" w:lineRule="auto"/>
        <w:ind w:left="0"/>
        <w:jc w:val="both"/>
        <w:rPr>
          <w:rFonts w:ascii="Arial Narrow" w:hAnsi="Arial Narrow" w:cs="Arial"/>
        </w:rPr>
      </w:pPr>
      <w:r w:rsidRPr="005A0A7C">
        <w:rPr>
          <w:rFonts w:ascii="Arial Narrow" w:hAnsi="Arial Narrow" w:cs="Arial"/>
        </w:rPr>
        <w:t xml:space="preserve">Las personas juzgadoras y técnicas supernumerarias adscritas al CACMFJ podrán realizar el cobro de viáticos o </w:t>
      </w:r>
      <w:proofErr w:type="spellStart"/>
      <w:r w:rsidRPr="005A0A7C">
        <w:rPr>
          <w:rFonts w:ascii="Arial Narrow" w:hAnsi="Arial Narrow" w:cs="Arial"/>
        </w:rPr>
        <w:t>zonaje</w:t>
      </w:r>
      <w:proofErr w:type="spellEnd"/>
      <w:r w:rsidRPr="005A0A7C">
        <w:rPr>
          <w:rFonts w:ascii="Arial Narrow" w:hAnsi="Arial Narrow" w:cs="Arial"/>
        </w:rPr>
        <w:t xml:space="preserve">, cuando deban trasladarse a cubrir suplencias, planes de trabajo o planes de audiencias en cualquier despacho del país, siempre y cuando se cumpla que no hayan sido trasladas </w:t>
      </w:r>
      <w:r w:rsidRPr="005A0A7C">
        <w:rPr>
          <w:rFonts w:ascii="Arial Narrow" w:hAnsi="Arial Narrow" w:cs="Arial"/>
          <w:lang w:eastAsia="es-CR"/>
        </w:rPr>
        <w:t>en acatamiento de directrices de instancias superiores.</w:t>
      </w:r>
    </w:p>
    <w:p w14:paraId="0ED246D3" w14:textId="77777777" w:rsidR="00BC0FE6" w:rsidRPr="005A0A7C" w:rsidRDefault="00BC0FE6" w:rsidP="00C17C23">
      <w:pPr>
        <w:shd w:val="clear" w:color="auto" w:fill="FFFFFF"/>
        <w:spacing w:after="160" w:line="259" w:lineRule="auto"/>
        <w:ind w:right="48"/>
        <w:jc w:val="both"/>
        <w:rPr>
          <w:rFonts w:ascii="Arial Narrow" w:hAnsi="Arial Narrow"/>
        </w:rPr>
      </w:pPr>
    </w:p>
    <w:p w14:paraId="33F3B32B" w14:textId="77777777" w:rsidR="005A3268" w:rsidRPr="005A0A7C" w:rsidRDefault="005A3268" w:rsidP="005A3268">
      <w:pPr>
        <w:shd w:val="clear" w:color="auto" w:fill="FFFFFF"/>
        <w:jc w:val="both"/>
        <w:rPr>
          <w:rFonts w:ascii="Arial Narrow" w:hAnsi="Arial Narrow"/>
          <w:color w:val="000000" w:themeColor="text1"/>
          <w:lang w:eastAsia="es-CR"/>
        </w:rPr>
      </w:pPr>
    </w:p>
    <w:p w14:paraId="272D3A09" w14:textId="77777777" w:rsidR="005A3268" w:rsidRPr="00166AFD" w:rsidRDefault="005A3268" w:rsidP="005A3268">
      <w:pPr>
        <w:jc w:val="both"/>
        <w:rPr>
          <w:rFonts w:ascii="Arial Narrow" w:eastAsia="Calibri" w:hAnsi="Arial Narrow"/>
          <w:bCs/>
          <w:lang w:eastAsia="es-CR"/>
        </w:rPr>
      </w:pPr>
      <w:r w:rsidRPr="00166AFD">
        <w:rPr>
          <w:rFonts w:ascii="Arial Narrow" w:eastAsia="Calibri" w:hAnsi="Arial Narrow"/>
          <w:bCs/>
          <w:lang w:eastAsia="es-CR"/>
        </w:rPr>
        <w:t>Publíquese una sola vez en el Boletín Judicial.</w:t>
      </w:r>
    </w:p>
    <w:p w14:paraId="0D1834B4" w14:textId="77777777" w:rsidR="005A3268" w:rsidRPr="00407421" w:rsidRDefault="005A3268" w:rsidP="005A3268">
      <w:pPr>
        <w:jc w:val="both"/>
        <w:rPr>
          <w:rFonts w:ascii="Arial Narrow" w:eastAsia="Calibri" w:hAnsi="Arial Narrow"/>
          <w:lang w:eastAsia="es-CR"/>
        </w:rPr>
      </w:pPr>
    </w:p>
    <w:p w14:paraId="74AA912A" w14:textId="77777777" w:rsidR="005A3268" w:rsidRDefault="005A3268" w:rsidP="005A3268">
      <w:pPr>
        <w:rPr>
          <w:rFonts w:ascii="Arial Narrow" w:eastAsia="Calibri" w:hAnsi="Arial Narrow"/>
          <w:lang w:eastAsia="es-CR"/>
        </w:rPr>
      </w:pPr>
      <w:r w:rsidRPr="002A2BE7">
        <w:rPr>
          <w:rFonts w:ascii="Arial Narrow" w:eastAsia="Calibri" w:hAnsi="Arial Narrow"/>
          <w:lang w:eastAsia="es-CR"/>
        </w:rPr>
        <w:t xml:space="preserve">San José, </w:t>
      </w:r>
      <w:r>
        <w:rPr>
          <w:rFonts w:ascii="Arial Narrow" w:eastAsia="Calibri" w:hAnsi="Arial Narrow"/>
          <w:lang w:eastAsia="es-CR"/>
        </w:rPr>
        <w:t xml:space="preserve">21 </w:t>
      </w:r>
      <w:r w:rsidRPr="002A2BE7">
        <w:rPr>
          <w:rFonts w:ascii="Arial Narrow" w:eastAsia="Calibri" w:hAnsi="Arial Narrow"/>
          <w:lang w:eastAsia="es-CR"/>
        </w:rPr>
        <w:t xml:space="preserve">de </w:t>
      </w:r>
      <w:r>
        <w:rPr>
          <w:rFonts w:ascii="Arial Narrow" w:eastAsia="Calibri" w:hAnsi="Arial Narrow"/>
          <w:lang w:eastAsia="es-CR"/>
        </w:rPr>
        <w:t xml:space="preserve">agosto </w:t>
      </w:r>
      <w:r w:rsidRPr="002A2BE7">
        <w:rPr>
          <w:rFonts w:ascii="Arial Narrow" w:eastAsia="Calibri" w:hAnsi="Arial Narrow"/>
          <w:lang w:eastAsia="es-CR"/>
        </w:rPr>
        <w:t>de 2024.</w:t>
      </w:r>
    </w:p>
    <w:p w14:paraId="4E8FE5CD" w14:textId="77777777" w:rsidR="005A3268" w:rsidRPr="002A2BE7" w:rsidRDefault="005A3268" w:rsidP="005A3268">
      <w:pPr>
        <w:rPr>
          <w:rFonts w:ascii="Arial Narrow" w:eastAsia="Calibri" w:hAnsi="Arial Narrow"/>
          <w:lang w:eastAsia="es-CR"/>
        </w:rPr>
      </w:pPr>
    </w:p>
    <w:p w14:paraId="016FD8E5" w14:textId="77777777" w:rsidR="005A3268" w:rsidRPr="00407421" w:rsidRDefault="005A3268" w:rsidP="005A3268">
      <w:pPr>
        <w:jc w:val="both"/>
        <w:rPr>
          <w:rFonts w:ascii="Arial Narrow" w:eastAsia="Calibri" w:hAnsi="Arial Narrow"/>
        </w:rPr>
      </w:pPr>
    </w:p>
    <w:p w14:paraId="3AE0807D" w14:textId="77777777" w:rsidR="005A3268" w:rsidRDefault="005A3268" w:rsidP="005A3268">
      <w:pPr>
        <w:jc w:val="both"/>
        <w:rPr>
          <w:rFonts w:ascii="Arial Narrow" w:eastAsia="Calibri" w:hAnsi="Arial Narrow"/>
        </w:rPr>
      </w:pPr>
    </w:p>
    <w:p w14:paraId="51AE1733" w14:textId="77777777" w:rsidR="005A3268" w:rsidRPr="00407421" w:rsidRDefault="005A3268" w:rsidP="005A3268">
      <w:pPr>
        <w:jc w:val="both"/>
        <w:rPr>
          <w:rFonts w:ascii="Arial Narrow" w:eastAsia="Calibri" w:hAnsi="Arial Narrow"/>
        </w:rPr>
      </w:pPr>
    </w:p>
    <w:p w14:paraId="1EBCD207" w14:textId="77777777" w:rsidR="005A3268" w:rsidRPr="002A2BE7" w:rsidRDefault="005A3268" w:rsidP="005A3268">
      <w:pPr>
        <w:jc w:val="center"/>
        <w:rPr>
          <w:rFonts w:ascii="Arial Narrow" w:eastAsia="Arial Unicode MS" w:hAnsi="Arial Narrow"/>
          <w:kern w:val="2"/>
          <w:lang w:val="es-ES_tradnl"/>
        </w:rPr>
      </w:pPr>
      <w:r w:rsidRPr="002A2BE7">
        <w:rPr>
          <w:rFonts w:ascii="Arial Narrow" w:eastAsia="Arial Unicode MS" w:hAnsi="Arial Narrow"/>
          <w:kern w:val="2"/>
          <w:lang w:val="es-ES_tradnl"/>
        </w:rPr>
        <w:t>Lic. Carlos T</w:t>
      </w:r>
      <w:r>
        <w:rPr>
          <w:rFonts w:ascii="Arial Narrow" w:eastAsia="Arial Unicode MS" w:hAnsi="Arial Narrow"/>
          <w:kern w:val="2"/>
          <w:lang w:val="es-ES_tradnl"/>
        </w:rPr>
        <w:t>oscano</w:t>
      </w:r>
      <w:r w:rsidRPr="002A2BE7">
        <w:rPr>
          <w:rFonts w:ascii="Arial Narrow" w:eastAsia="Arial Unicode MS" w:hAnsi="Arial Narrow"/>
          <w:kern w:val="2"/>
          <w:lang w:val="es-ES_tradnl"/>
        </w:rPr>
        <w:t xml:space="preserve"> Mora Rodríguez</w:t>
      </w:r>
    </w:p>
    <w:p w14:paraId="4CD2097E" w14:textId="77777777" w:rsidR="005A3268" w:rsidRPr="002A2BE7" w:rsidRDefault="005A3268" w:rsidP="005A3268">
      <w:pPr>
        <w:jc w:val="center"/>
        <w:rPr>
          <w:rFonts w:ascii="Arial Narrow" w:eastAsia="Arial Unicode MS" w:hAnsi="Arial Narrow"/>
          <w:kern w:val="2"/>
          <w:lang w:val="es-ES_tradnl"/>
        </w:rPr>
      </w:pPr>
      <w:r w:rsidRPr="002A2BE7">
        <w:rPr>
          <w:rFonts w:ascii="Arial Narrow" w:eastAsia="Arial Unicode MS" w:hAnsi="Arial Narrow"/>
          <w:kern w:val="2"/>
          <w:lang w:val="es-ES_tradnl"/>
        </w:rPr>
        <w:t>Subsecretario General interino</w:t>
      </w:r>
    </w:p>
    <w:p w14:paraId="30C31465" w14:textId="77777777" w:rsidR="005A3268" w:rsidRDefault="005A3268" w:rsidP="005A3268">
      <w:pPr>
        <w:jc w:val="center"/>
        <w:rPr>
          <w:rFonts w:ascii="Arial Narrow" w:eastAsia="Arial Unicode MS" w:hAnsi="Arial Narrow"/>
          <w:kern w:val="2"/>
          <w:lang w:val="es-ES_tradnl"/>
        </w:rPr>
      </w:pPr>
      <w:r w:rsidRPr="002A2BE7">
        <w:rPr>
          <w:rFonts w:ascii="Arial Narrow" w:eastAsia="Arial Unicode MS" w:hAnsi="Arial Narrow"/>
          <w:kern w:val="2"/>
          <w:lang w:val="es-ES_tradnl"/>
        </w:rPr>
        <w:t>Corte Suprema de Justicia</w:t>
      </w:r>
    </w:p>
    <w:p w14:paraId="46F23691" w14:textId="77777777" w:rsidR="005A3268" w:rsidRPr="002A2BE7" w:rsidRDefault="005A3268" w:rsidP="005A3268">
      <w:pPr>
        <w:jc w:val="center"/>
        <w:rPr>
          <w:rFonts w:ascii="Arial Narrow" w:eastAsia="Arial Unicode MS" w:hAnsi="Arial Narrow"/>
          <w:kern w:val="2"/>
          <w:lang w:val="es-ES_tradnl"/>
        </w:rPr>
      </w:pPr>
    </w:p>
    <w:p w14:paraId="55242447" w14:textId="77777777" w:rsidR="005A3268" w:rsidRPr="00407421" w:rsidRDefault="005A3268" w:rsidP="005A3268">
      <w:pPr>
        <w:rPr>
          <w:rFonts w:ascii="Arial Narrow" w:eastAsia="Calibri" w:hAnsi="Arial Narrow"/>
          <w:i/>
          <w:iCs/>
          <w:lang w:val="es-ES_tradnl" w:eastAsia="es-CR"/>
        </w:rPr>
      </w:pPr>
    </w:p>
    <w:p w14:paraId="66909C32" w14:textId="77777777" w:rsidR="005A3268" w:rsidRPr="00B75469" w:rsidRDefault="005A3268" w:rsidP="005A3268">
      <w:pPr>
        <w:shd w:val="clear" w:color="auto" w:fill="FFFFFF"/>
        <w:ind w:right="851"/>
        <w:jc w:val="both"/>
        <w:rPr>
          <w:rFonts w:ascii="Arial Narrow" w:hAnsi="Arial Narrow"/>
          <w:color w:val="000000" w:themeColor="text1"/>
          <w:lang w:val="es-CR" w:eastAsia="es-CR"/>
        </w:rPr>
      </w:pPr>
      <w:r w:rsidRPr="00407421">
        <w:rPr>
          <w:rFonts w:ascii="Arial Narrow" w:eastAsia="Calibri" w:hAnsi="Arial Narrow"/>
        </w:rPr>
        <w:t xml:space="preserve">Diligencias / </w:t>
      </w:r>
      <w:proofErr w:type="spellStart"/>
      <w:r w:rsidRPr="00407421">
        <w:rPr>
          <w:rFonts w:ascii="Arial Narrow" w:eastAsia="Calibri" w:hAnsi="Arial Narrow"/>
        </w:rPr>
        <w:t>Refs</w:t>
      </w:r>
      <w:proofErr w:type="spellEnd"/>
      <w:r w:rsidRPr="00407421">
        <w:rPr>
          <w:rFonts w:ascii="Arial Narrow" w:eastAsia="Calibri" w:hAnsi="Arial Narrow"/>
        </w:rPr>
        <w:t>: (</w:t>
      </w:r>
      <w:r w:rsidRPr="005A3268">
        <w:rPr>
          <w:rFonts w:ascii="Arial Narrow" w:eastAsia="Calibri" w:hAnsi="Arial Narrow"/>
        </w:rPr>
        <w:t>8170-2024 / 8246-2024</w:t>
      </w:r>
      <w:r w:rsidRPr="00407421">
        <w:rPr>
          <w:rFonts w:ascii="Arial Narrow" w:eastAsia="Calibri" w:hAnsi="Arial Narrow"/>
        </w:rPr>
        <w:t>)</w:t>
      </w:r>
    </w:p>
    <w:p w14:paraId="54C5134A" w14:textId="77777777" w:rsidR="005A3268" w:rsidRPr="002A2BE7" w:rsidRDefault="005A3268" w:rsidP="005A3268">
      <w:pPr>
        <w:jc w:val="both"/>
        <w:rPr>
          <w:rFonts w:ascii="Arial Narrow" w:eastAsia="Calibri" w:hAnsi="Arial Narrow"/>
        </w:rPr>
      </w:pPr>
      <w:r w:rsidRPr="002A2BE7">
        <w:rPr>
          <w:rFonts w:ascii="Arial Narrow" w:eastAsia="Calibri" w:hAnsi="Arial Narrow"/>
        </w:rPr>
        <w:t>Mónica Ross</w:t>
      </w:r>
      <w:r>
        <w:rPr>
          <w:rFonts w:ascii="Arial Narrow" w:eastAsia="Calibri" w:hAnsi="Arial Narrow"/>
        </w:rPr>
        <w:t xml:space="preserve"> G.</w:t>
      </w:r>
    </w:p>
    <w:p w14:paraId="2781D1A8" w14:textId="77777777" w:rsidR="005A3268" w:rsidRDefault="005A3268" w:rsidP="005A3268">
      <w:pPr>
        <w:shd w:val="clear" w:color="auto" w:fill="FFFFFF"/>
        <w:ind w:right="851"/>
        <w:jc w:val="both"/>
        <w:rPr>
          <w:rFonts w:ascii="Arial Narrow" w:hAnsi="Arial Narrow"/>
          <w:color w:val="000000" w:themeColor="text1"/>
          <w:lang w:val="es-CR" w:eastAsia="es-CR"/>
        </w:rPr>
      </w:pPr>
    </w:p>
    <w:p w14:paraId="3A54D05B" w14:textId="77777777" w:rsidR="005A3268" w:rsidRPr="005A3268" w:rsidRDefault="005A3268" w:rsidP="00C17C23">
      <w:pPr>
        <w:shd w:val="clear" w:color="auto" w:fill="FFFFFF"/>
        <w:spacing w:after="160" w:line="259" w:lineRule="auto"/>
        <w:ind w:right="48"/>
        <w:jc w:val="both"/>
        <w:rPr>
          <w:rFonts w:ascii="Arial Narrow" w:hAnsi="Arial Narrow"/>
        </w:rPr>
      </w:pPr>
    </w:p>
    <w:bookmarkEnd w:id="2"/>
    <w:p w14:paraId="62CA00FB" w14:textId="77777777" w:rsidR="00C17C23" w:rsidRDefault="00C17C23" w:rsidP="008B125F">
      <w:pPr>
        <w:shd w:val="clear" w:color="auto" w:fill="FFFFFF"/>
        <w:spacing w:after="160" w:line="259" w:lineRule="auto"/>
        <w:ind w:right="48"/>
        <w:jc w:val="both"/>
        <w:rPr>
          <w:rFonts w:ascii="Arial Narrow" w:hAnsi="Arial Narrow"/>
          <w:b/>
          <w:bCs/>
        </w:rPr>
      </w:pPr>
    </w:p>
    <w:p w14:paraId="7A9499C9" w14:textId="77777777" w:rsidR="003E27D2" w:rsidRPr="003C0469" w:rsidRDefault="005A58F6" w:rsidP="00AA5146">
      <w:pPr>
        <w:shd w:val="clear" w:color="auto" w:fill="FFFFFF"/>
        <w:suppressAutoHyphens w:val="0"/>
        <w:ind w:right="141"/>
        <w:jc w:val="both"/>
        <w:rPr>
          <w:rFonts w:ascii="Arial Narrow" w:eastAsia="Arial Unicode MS" w:hAnsi="Arial Narrow"/>
          <w:color w:val="000000" w:themeColor="text1"/>
          <w:lang w:val="pt-PT" w:eastAsia="zh-CN"/>
        </w:rPr>
      </w:pPr>
      <w:r w:rsidRPr="003C0469">
        <w:rPr>
          <w:rFonts w:ascii="Arial Narrow" w:hAnsi="Arial Narrow" w:cs="Arial"/>
          <w:color w:val="000000"/>
          <w:shd w:val="clear" w:color="auto" w:fill="FFFFFF"/>
          <w:lang w:val="pt-PT" w:eastAsia="es-CR"/>
        </w:rPr>
        <w:t xml:space="preserve"> </w:t>
      </w:r>
    </w:p>
    <w:sectPr w:rsidR="003E27D2" w:rsidRPr="003C0469" w:rsidSect="003E27D2">
      <w:footnotePr>
        <w:pos w:val="beneathText"/>
      </w:footnotePr>
      <w:pgSz w:w="12240" w:h="15840"/>
      <w:pgMar w:top="1417" w:right="1701" w:bottom="1417" w:left="1701"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9677" w14:textId="77777777" w:rsidR="00CE1AEF" w:rsidRDefault="00CE1AEF" w:rsidP="003E27D2">
      <w:r>
        <w:separator/>
      </w:r>
    </w:p>
  </w:endnote>
  <w:endnote w:type="continuationSeparator" w:id="0">
    <w:p w14:paraId="72058112" w14:textId="77777777" w:rsidR="00CE1AEF" w:rsidRDefault="00CE1AEF" w:rsidP="003E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F698" w14:textId="77777777" w:rsidR="00CE1AEF" w:rsidRDefault="00CE1AEF" w:rsidP="003E27D2">
      <w:r>
        <w:separator/>
      </w:r>
    </w:p>
  </w:footnote>
  <w:footnote w:type="continuationSeparator" w:id="0">
    <w:p w14:paraId="216256BA" w14:textId="77777777" w:rsidR="00CE1AEF" w:rsidRDefault="00CE1AEF" w:rsidP="003E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72EFF"/>
    <w:multiLevelType w:val="hybridMultilevel"/>
    <w:tmpl w:val="1BC83D68"/>
    <w:lvl w:ilvl="0" w:tplc="249CCA0E">
      <w:start w:val="17"/>
      <w:numFmt w:val="bullet"/>
      <w:lvlText w:val="-"/>
      <w:lvlJc w:val="left"/>
      <w:pPr>
        <w:ind w:left="720" w:hanging="360"/>
      </w:pPr>
      <w:rPr>
        <w:rFonts w:ascii="Book Antiqua" w:eastAsiaTheme="minorHAnsi" w:hAnsi="Book Antiqu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18C2D2D"/>
    <w:multiLevelType w:val="hybridMultilevel"/>
    <w:tmpl w:val="520882EA"/>
    <w:lvl w:ilvl="0" w:tplc="8C36670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6E4556"/>
    <w:multiLevelType w:val="hybridMultilevel"/>
    <w:tmpl w:val="8C622E4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FBE649B"/>
    <w:multiLevelType w:val="hybridMultilevel"/>
    <w:tmpl w:val="5560D7C4"/>
    <w:lvl w:ilvl="0" w:tplc="8ECCCB56">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777454F"/>
    <w:multiLevelType w:val="hybridMultilevel"/>
    <w:tmpl w:val="7FBE15F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2A524B"/>
    <w:multiLevelType w:val="hybridMultilevel"/>
    <w:tmpl w:val="C84490BC"/>
    <w:lvl w:ilvl="0" w:tplc="140A000F">
      <w:start w:val="1"/>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D2F37A5"/>
    <w:multiLevelType w:val="hybridMultilevel"/>
    <w:tmpl w:val="7FBE15F0"/>
    <w:lvl w:ilvl="0" w:tplc="F96EAD8A">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59410191">
    <w:abstractNumId w:val="3"/>
  </w:num>
  <w:num w:numId="2" w16cid:durableId="1096904052">
    <w:abstractNumId w:val="0"/>
  </w:num>
  <w:num w:numId="3" w16cid:durableId="615601613">
    <w:abstractNumId w:val="6"/>
  </w:num>
  <w:num w:numId="4" w16cid:durableId="1012411726">
    <w:abstractNumId w:val="1"/>
  </w:num>
  <w:num w:numId="5" w16cid:durableId="696153827">
    <w:abstractNumId w:val="4"/>
  </w:num>
  <w:num w:numId="6" w16cid:durableId="1526937744">
    <w:abstractNumId w:val="2"/>
  </w:num>
  <w:num w:numId="7" w16cid:durableId="761071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D2"/>
    <w:rsid w:val="00016ACD"/>
    <w:rsid w:val="00043ADF"/>
    <w:rsid w:val="00077EE6"/>
    <w:rsid w:val="001659C8"/>
    <w:rsid w:val="00224AB7"/>
    <w:rsid w:val="002821F6"/>
    <w:rsid w:val="00320C48"/>
    <w:rsid w:val="00396CB9"/>
    <w:rsid w:val="003C0469"/>
    <w:rsid w:val="003E27D2"/>
    <w:rsid w:val="003F4248"/>
    <w:rsid w:val="004C16CB"/>
    <w:rsid w:val="004C41E0"/>
    <w:rsid w:val="00545EF0"/>
    <w:rsid w:val="005A0A7C"/>
    <w:rsid w:val="005A3268"/>
    <w:rsid w:val="005A58F6"/>
    <w:rsid w:val="005B6BA1"/>
    <w:rsid w:val="005B734E"/>
    <w:rsid w:val="005F76AD"/>
    <w:rsid w:val="00614A3C"/>
    <w:rsid w:val="00643DCD"/>
    <w:rsid w:val="006575E0"/>
    <w:rsid w:val="00680CC6"/>
    <w:rsid w:val="006E3FC5"/>
    <w:rsid w:val="006E7A0C"/>
    <w:rsid w:val="006F3ACD"/>
    <w:rsid w:val="00856F4C"/>
    <w:rsid w:val="0086274C"/>
    <w:rsid w:val="00890440"/>
    <w:rsid w:val="008B125F"/>
    <w:rsid w:val="0095544E"/>
    <w:rsid w:val="009E030C"/>
    <w:rsid w:val="009F5271"/>
    <w:rsid w:val="00AA08E9"/>
    <w:rsid w:val="00AA5146"/>
    <w:rsid w:val="00AE36D3"/>
    <w:rsid w:val="00B93BA7"/>
    <w:rsid w:val="00B94A47"/>
    <w:rsid w:val="00BC0E22"/>
    <w:rsid w:val="00BC0FE6"/>
    <w:rsid w:val="00BD1B2B"/>
    <w:rsid w:val="00C00512"/>
    <w:rsid w:val="00C17C23"/>
    <w:rsid w:val="00C415F2"/>
    <w:rsid w:val="00C853AA"/>
    <w:rsid w:val="00CA132E"/>
    <w:rsid w:val="00CB4F61"/>
    <w:rsid w:val="00CB7097"/>
    <w:rsid w:val="00CE1AEF"/>
    <w:rsid w:val="00CF447F"/>
    <w:rsid w:val="00CF770E"/>
    <w:rsid w:val="00D513A2"/>
    <w:rsid w:val="00EE36B5"/>
    <w:rsid w:val="00F30EAB"/>
    <w:rsid w:val="00F33CEC"/>
    <w:rsid w:val="00F54B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6F3A"/>
  <w15:chartTrackingRefBased/>
  <w15:docId w15:val="{82F0B819-8433-4DCC-8273-A9B92F32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D2"/>
    <w:pPr>
      <w:suppressAutoHyphens/>
      <w:spacing w:after="0" w:line="240" w:lineRule="auto"/>
    </w:pPr>
    <w:rPr>
      <w:rFonts w:ascii="Times New Roman" w:eastAsia="Times New Roman" w:hAnsi="Times New Roman" w:cs="Times New Roman"/>
      <w:kern w:val="0"/>
      <w:lang w:val="es-ES" w:eastAsia="ar-SA"/>
      <w14:ligatures w14:val="none"/>
    </w:rPr>
  </w:style>
  <w:style w:type="paragraph" w:styleId="Ttulo1">
    <w:name w:val="heading 1"/>
    <w:basedOn w:val="Normal"/>
    <w:next w:val="Normal"/>
    <w:link w:val="Ttulo1Car"/>
    <w:uiPriority w:val="9"/>
    <w:qFormat/>
    <w:rsid w:val="003E2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2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2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2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2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27D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3E27D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27D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27D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2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2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2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2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2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2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2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27D2"/>
    <w:rPr>
      <w:rFonts w:eastAsiaTheme="majorEastAsia" w:cstheme="majorBidi"/>
      <w:color w:val="272727" w:themeColor="text1" w:themeTint="D8"/>
    </w:rPr>
  </w:style>
  <w:style w:type="paragraph" w:styleId="Ttulo">
    <w:name w:val="Title"/>
    <w:basedOn w:val="Normal"/>
    <w:next w:val="Normal"/>
    <w:link w:val="TtuloCar"/>
    <w:uiPriority w:val="10"/>
    <w:qFormat/>
    <w:rsid w:val="003E27D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2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2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2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27D2"/>
    <w:pPr>
      <w:spacing w:before="160"/>
      <w:jc w:val="center"/>
    </w:pPr>
    <w:rPr>
      <w:i/>
      <w:iCs/>
      <w:color w:val="404040" w:themeColor="text1" w:themeTint="BF"/>
    </w:rPr>
  </w:style>
  <w:style w:type="character" w:customStyle="1" w:styleId="CitaCar">
    <w:name w:val="Cita Car"/>
    <w:basedOn w:val="Fuentedeprrafopredeter"/>
    <w:link w:val="Cita"/>
    <w:uiPriority w:val="29"/>
    <w:rsid w:val="003E27D2"/>
    <w:rPr>
      <w:i/>
      <w:iCs/>
      <w:color w:val="404040" w:themeColor="text1" w:themeTint="BF"/>
    </w:rPr>
  </w:style>
  <w:style w:type="paragraph" w:styleId="Prrafodelista">
    <w:name w:val="List Paragraph"/>
    <w:aliases w:val="Bullet 1,Use Case List Paragraph,Lista vistosa - Énfasis 11,Párrafo de lista Car Car Car,Informe,Footnote,FooterText,numbered,Paragraphe de liste1,Bulletr List Paragraph,列出段落,列出段落1,lp1,lp11,List Paragraph 1,Numbered List Paragraph,3"/>
    <w:basedOn w:val="Normal"/>
    <w:link w:val="PrrafodelistaCar"/>
    <w:uiPriority w:val="34"/>
    <w:qFormat/>
    <w:rsid w:val="003E27D2"/>
    <w:pPr>
      <w:ind w:left="720"/>
      <w:contextualSpacing/>
    </w:pPr>
  </w:style>
  <w:style w:type="character" w:styleId="nfasisintenso">
    <w:name w:val="Intense Emphasis"/>
    <w:basedOn w:val="Fuentedeprrafopredeter"/>
    <w:uiPriority w:val="21"/>
    <w:qFormat/>
    <w:rsid w:val="003E27D2"/>
    <w:rPr>
      <w:i/>
      <w:iCs/>
      <w:color w:val="0F4761" w:themeColor="accent1" w:themeShade="BF"/>
    </w:rPr>
  </w:style>
  <w:style w:type="paragraph" w:styleId="Citadestacada">
    <w:name w:val="Intense Quote"/>
    <w:basedOn w:val="Normal"/>
    <w:next w:val="Normal"/>
    <w:link w:val="CitadestacadaCar"/>
    <w:uiPriority w:val="30"/>
    <w:qFormat/>
    <w:rsid w:val="003E2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27D2"/>
    <w:rPr>
      <w:i/>
      <w:iCs/>
      <w:color w:val="0F4761" w:themeColor="accent1" w:themeShade="BF"/>
    </w:rPr>
  </w:style>
  <w:style w:type="character" w:styleId="Referenciaintensa">
    <w:name w:val="Intense Reference"/>
    <w:basedOn w:val="Fuentedeprrafopredeter"/>
    <w:uiPriority w:val="32"/>
    <w:qFormat/>
    <w:rsid w:val="003E27D2"/>
    <w:rPr>
      <w:b/>
      <w:bCs/>
      <w:smallCaps/>
      <w:color w:val="0F4761" w:themeColor="accent1" w:themeShade="BF"/>
      <w:spacing w:val="5"/>
    </w:rPr>
  </w:style>
  <w:style w:type="character" w:customStyle="1" w:styleId="Ttulo7Car1">
    <w:name w:val="Título 7 Car1"/>
    <w:uiPriority w:val="9"/>
    <w:qFormat/>
    <w:rsid w:val="003E27D2"/>
    <w:rPr>
      <w:rFonts w:ascii="Arial" w:hAnsi="Arial"/>
      <w:b/>
      <w:bCs/>
      <w:sz w:val="24"/>
      <w:szCs w:val="24"/>
      <w:u w:val="single"/>
      <w:lang w:eastAsia="ar-SA"/>
    </w:rPr>
  </w:style>
  <w:style w:type="character" w:styleId="Hipervnculo">
    <w:name w:val="Hyperlink"/>
    <w:uiPriority w:val="99"/>
    <w:qFormat/>
    <w:rsid w:val="003E27D2"/>
    <w:rPr>
      <w:color w:val="000080"/>
      <w:u w:val="single"/>
    </w:rPr>
  </w:style>
  <w:style w:type="paragraph" w:styleId="Encabezado">
    <w:name w:val="header"/>
    <w:aliases w:val="encabezado,h,header"/>
    <w:basedOn w:val="Normal"/>
    <w:link w:val="EncabezadoCar1"/>
    <w:qFormat/>
    <w:rsid w:val="003E27D2"/>
    <w:pPr>
      <w:widowControl w:val="0"/>
      <w:tabs>
        <w:tab w:val="center" w:pos="4320"/>
        <w:tab w:val="right" w:pos="8640"/>
      </w:tabs>
      <w:autoSpaceDE w:val="0"/>
    </w:pPr>
    <w:rPr>
      <w:rFonts w:ascii="Arial" w:hAnsi="Arial" w:cs="Arial"/>
      <w:u w:val="single"/>
      <w:shd w:val="clear" w:color="auto" w:fill="FFFFFF"/>
    </w:rPr>
  </w:style>
  <w:style w:type="character" w:customStyle="1" w:styleId="EncabezadoCar">
    <w:name w:val="Encabezado Car"/>
    <w:basedOn w:val="Fuentedeprrafopredeter"/>
    <w:uiPriority w:val="99"/>
    <w:semiHidden/>
    <w:rsid w:val="003E27D2"/>
    <w:rPr>
      <w:rFonts w:ascii="Times New Roman" w:eastAsia="Times New Roman" w:hAnsi="Times New Roman" w:cs="Times New Roman"/>
      <w:kern w:val="0"/>
      <w:lang w:val="es-ES" w:eastAsia="ar-SA"/>
      <w14:ligatures w14:val="none"/>
    </w:rPr>
  </w:style>
  <w:style w:type="character" w:customStyle="1" w:styleId="EncabezadoCar1">
    <w:name w:val="Encabezado Car1"/>
    <w:aliases w:val="encabezado Car,h Car,header Car"/>
    <w:link w:val="Encabezado"/>
    <w:rsid w:val="003E27D2"/>
    <w:rPr>
      <w:rFonts w:ascii="Arial" w:eastAsia="Times New Roman" w:hAnsi="Arial" w:cs="Arial"/>
      <w:kern w:val="0"/>
      <w:u w:val="single"/>
      <w:lang w:val="es-ES" w:eastAsia="ar-SA"/>
      <w14:ligatures w14:val="none"/>
    </w:rPr>
  </w:style>
  <w:style w:type="paragraph" w:styleId="Piedepgina">
    <w:name w:val="footer"/>
    <w:basedOn w:val="Normal"/>
    <w:link w:val="PiedepginaCar"/>
    <w:uiPriority w:val="99"/>
    <w:qFormat/>
    <w:rsid w:val="003E27D2"/>
    <w:pPr>
      <w:widowControl w:val="0"/>
      <w:tabs>
        <w:tab w:val="center" w:pos="4320"/>
        <w:tab w:val="right" w:pos="8640"/>
      </w:tabs>
      <w:autoSpaceDE w:val="0"/>
    </w:pPr>
    <w:rPr>
      <w:rFonts w:ascii="Arial" w:hAnsi="Arial" w:cs="Arial"/>
      <w:u w:val="single"/>
      <w:shd w:val="clear" w:color="auto" w:fill="FFFFFF"/>
    </w:rPr>
  </w:style>
  <w:style w:type="character" w:customStyle="1" w:styleId="PiedepginaCar">
    <w:name w:val="Pie de página Car"/>
    <w:basedOn w:val="Fuentedeprrafopredeter"/>
    <w:link w:val="Piedepgina"/>
    <w:uiPriority w:val="99"/>
    <w:qFormat/>
    <w:rsid w:val="003E27D2"/>
    <w:rPr>
      <w:rFonts w:ascii="Arial" w:eastAsia="Times New Roman" w:hAnsi="Arial" w:cs="Arial"/>
      <w:kern w:val="0"/>
      <w:u w:val="single"/>
      <w:lang w:val="es-ES" w:eastAsia="ar-SA"/>
      <w14:ligatures w14:val="none"/>
    </w:rPr>
  </w:style>
  <w:style w:type="paragraph" w:customStyle="1" w:styleId="Ttulo51">
    <w:name w:val="Título 51"/>
    <w:next w:val="Normal"/>
    <w:uiPriority w:val="99"/>
    <w:qFormat/>
    <w:rsid w:val="003E27D2"/>
    <w:pPr>
      <w:keepNext/>
      <w:widowControl w:val="0"/>
      <w:tabs>
        <w:tab w:val="left" w:pos="0"/>
      </w:tabs>
      <w:suppressAutoHyphens/>
      <w:spacing w:after="0" w:line="240" w:lineRule="auto"/>
      <w:jc w:val="center"/>
    </w:pPr>
    <w:rPr>
      <w:rFonts w:ascii="Times New Roman" w:eastAsia="Lucida Sans Unicode" w:hAnsi="Times New Roman" w:cs="Times New Roman"/>
      <w:b/>
      <w:bCs/>
      <w:i/>
      <w:iCs/>
      <w:kern w:val="0"/>
      <w:sz w:val="26"/>
      <w:szCs w:val="26"/>
      <w:u w:val="single"/>
      <w:shd w:val="clear" w:color="auto" w:fill="FFFFFF"/>
      <w:lang w:val="es-ES" w:eastAsia="ar-SA"/>
      <w14:ligatures w14:val="none"/>
    </w:rPr>
  </w:style>
  <w:style w:type="paragraph" w:customStyle="1" w:styleId="Ttulo31">
    <w:name w:val="Título 31"/>
    <w:next w:val="Normal"/>
    <w:uiPriority w:val="99"/>
    <w:qFormat/>
    <w:rsid w:val="003E27D2"/>
    <w:pPr>
      <w:widowControl w:val="0"/>
      <w:tabs>
        <w:tab w:val="num" w:pos="0"/>
      </w:tabs>
      <w:suppressAutoHyphens/>
      <w:spacing w:after="0" w:line="240" w:lineRule="auto"/>
      <w:outlineLvl w:val="2"/>
    </w:pPr>
    <w:rPr>
      <w:rFonts w:ascii="Times New Roman" w:eastAsia="Arial Unicode MS" w:hAnsi="Times New Roman" w:cs="Times New Roman"/>
      <w:kern w:val="0"/>
      <w:u w:val="single"/>
      <w:shd w:val="clear" w:color="auto" w:fill="FFFFFF"/>
      <w:lang w:val="es-ES_tradnl" w:eastAsia="es-ES"/>
      <w14:ligatures w14:val="none"/>
    </w:rPr>
  </w:style>
  <w:style w:type="paragraph" w:customStyle="1" w:styleId="SUBPROGRAMA">
    <w:name w:val="SUBPROGRAMA"/>
    <w:basedOn w:val="Ttulo1"/>
    <w:next w:val="Normal"/>
    <w:uiPriority w:val="99"/>
    <w:qFormat/>
    <w:rsid w:val="003E27D2"/>
    <w:pPr>
      <w:keepLines w:val="0"/>
      <w:tabs>
        <w:tab w:val="num" w:pos="0"/>
      </w:tabs>
      <w:spacing w:before="240" w:after="60"/>
      <w:jc w:val="both"/>
    </w:pPr>
    <w:rPr>
      <w:rFonts w:ascii="Bookman Old Style" w:eastAsia="Times New Roman" w:hAnsi="Bookman Old Style" w:cs="Times New Roman"/>
      <w:b/>
      <w:smallCaps/>
      <w:color w:val="000080"/>
      <w:kern w:val="28"/>
      <w:sz w:val="28"/>
      <w:szCs w:val="20"/>
      <w:u w:val="single"/>
      <w:lang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iPriority w:val="99"/>
    <w:qFormat/>
    <w:rsid w:val="006575E0"/>
    <w:pPr>
      <w:suppressAutoHyphens w:val="0"/>
    </w:pPr>
    <w:rPr>
      <w:sz w:val="20"/>
      <w:szCs w:val="20"/>
      <w:lang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uiPriority w:val="99"/>
    <w:qFormat/>
    <w:rsid w:val="006575E0"/>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ƒ89,^ƒ89,Texto de nota al pie,Footnotes refss,Appel note de bas de page,Footnote number,referencia nota al pie,BVI fnr,f,Referencia nota al pie"/>
    <w:uiPriority w:val="99"/>
    <w:qFormat/>
    <w:rsid w:val="006575E0"/>
    <w:rPr>
      <w:vertAlign w:val="superscript"/>
    </w:rPr>
  </w:style>
  <w:style w:type="paragraph" w:customStyle="1" w:styleId="Textodebloque2">
    <w:name w:val="Texto de bloque2"/>
    <w:basedOn w:val="Normal"/>
    <w:rsid w:val="006575E0"/>
    <w:pPr>
      <w:widowControl w:val="0"/>
      <w:suppressAutoHyphens w:val="0"/>
      <w:ind w:left="851" w:right="851"/>
      <w:jc w:val="both"/>
    </w:pPr>
    <w:rPr>
      <w:szCs w:val="20"/>
      <w:lang w:val="es-ES_tradnl" w:eastAsia="zh-CN"/>
    </w:rPr>
  </w:style>
  <w:style w:type="paragraph" w:styleId="Textodeglobo">
    <w:name w:val="Balloon Text"/>
    <w:basedOn w:val="Normal"/>
    <w:link w:val="TextodegloboCar"/>
    <w:uiPriority w:val="99"/>
    <w:semiHidden/>
    <w:unhideWhenUsed/>
    <w:rsid w:val="009E0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30C"/>
    <w:rPr>
      <w:rFonts w:ascii="Segoe UI" w:eastAsia="Times New Roman" w:hAnsi="Segoe UI" w:cs="Segoe UI"/>
      <w:kern w:val="0"/>
      <w:sz w:val="18"/>
      <w:szCs w:val="18"/>
      <w:lang w:val="es-ES" w:eastAsia="ar-SA"/>
      <w14:ligatures w14:val="none"/>
    </w:rPr>
  </w:style>
  <w:style w:type="character" w:customStyle="1" w:styleId="PrrafodelistaCar">
    <w:name w:val="Párrafo de lista Car"/>
    <w:aliases w:val="Bullet 1 Car,Use Case List Paragraph Car,Lista vistosa - Énfasis 11 Car,Párrafo de lista Car Car Car Car,Informe Car,Footnote Car,FooterText Car,numbered Car,Paragraphe de liste1 Car,Bulletr List Paragraph Car,列出段落 Car,列出段落1 Car"/>
    <w:link w:val="Prrafodelista"/>
    <w:uiPriority w:val="34"/>
    <w:qFormat/>
    <w:locked/>
    <w:rsid w:val="00AA5146"/>
    <w:rPr>
      <w:rFonts w:ascii="Times New Roman" w:eastAsia="Times New Roman" w:hAnsi="Times New Roman" w:cs="Times New Roman"/>
      <w:kern w:val="0"/>
      <w:lang w:val="es-ES" w:eastAsia="ar-SA"/>
      <w14:ligatures w14:val="none"/>
    </w:rPr>
  </w:style>
  <w:style w:type="paragraph" w:styleId="Sinespaciado">
    <w:name w:val="No Spacing"/>
    <w:uiPriority w:val="1"/>
    <w:qFormat/>
    <w:rsid w:val="00AA5146"/>
    <w:pPr>
      <w:spacing w:after="0" w:line="240" w:lineRule="auto"/>
    </w:pPr>
    <w:rPr>
      <w:kern w:val="0"/>
      <w:sz w:val="22"/>
      <w:szCs w:val="22"/>
      <w14:ligatures w14:val="none"/>
    </w:rPr>
  </w:style>
  <w:style w:type="character" w:customStyle="1" w:styleId="ui-provider">
    <w:name w:val="ui-provider"/>
    <w:basedOn w:val="Fuentedeprrafopredeter"/>
    <w:rsid w:val="00D513A2"/>
  </w:style>
  <w:style w:type="character" w:styleId="Refdecomentario">
    <w:name w:val="annotation reference"/>
    <w:basedOn w:val="Fuentedeprrafopredeter"/>
    <w:uiPriority w:val="99"/>
    <w:semiHidden/>
    <w:unhideWhenUsed/>
    <w:rsid w:val="003C0469"/>
    <w:rPr>
      <w:sz w:val="16"/>
      <w:szCs w:val="16"/>
    </w:rPr>
  </w:style>
  <w:style w:type="paragraph" w:styleId="Textocomentario">
    <w:name w:val="annotation text"/>
    <w:basedOn w:val="Normal"/>
    <w:link w:val="TextocomentarioCar"/>
    <w:uiPriority w:val="99"/>
    <w:unhideWhenUsed/>
    <w:rsid w:val="003C0469"/>
    <w:rPr>
      <w:sz w:val="20"/>
      <w:szCs w:val="20"/>
    </w:rPr>
  </w:style>
  <w:style w:type="character" w:customStyle="1" w:styleId="TextocomentarioCar">
    <w:name w:val="Texto comentario Car"/>
    <w:basedOn w:val="Fuentedeprrafopredeter"/>
    <w:link w:val="Textocomentario"/>
    <w:uiPriority w:val="99"/>
    <w:rsid w:val="003C0469"/>
    <w:rPr>
      <w:rFonts w:ascii="Times New Roman" w:eastAsia="Times New Roman" w:hAnsi="Times New Roman" w:cs="Times New Roman"/>
      <w:kern w:val="0"/>
      <w:sz w:val="20"/>
      <w:szCs w:val="20"/>
      <w:lang w:val="es-ES" w:eastAsia="ar-SA"/>
      <w14:ligatures w14:val="none"/>
    </w:rPr>
  </w:style>
  <w:style w:type="paragraph" w:styleId="Asuntodelcomentario">
    <w:name w:val="annotation subject"/>
    <w:basedOn w:val="Textocomentario"/>
    <w:next w:val="Textocomentario"/>
    <w:link w:val="AsuntodelcomentarioCar"/>
    <w:uiPriority w:val="99"/>
    <w:semiHidden/>
    <w:unhideWhenUsed/>
    <w:rsid w:val="003C0469"/>
    <w:rPr>
      <w:b/>
      <w:bCs/>
    </w:rPr>
  </w:style>
  <w:style w:type="character" w:customStyle="1" w:styleId="AsuntodelcomentarioCar">
    <w:name w:val="Asunto del comentario Car"/>
    <w:basedOn w:val="TextocomentarioCar"/>
    <w:link w:val="Asuntodelcomentario"/>
    <w:uiPriority w:val="99"/>
    <w:semiHidden/>
    <w:rsid w:val="003C0469"/>
    <w:rPr>
      <w:rFonts w:ascii="Times New Roman" w:eastAsia="Times New Roman" w:hAnsi="Times New Roman" w:cs="Times New Roman"/>
      <w:b/>
      <w:bCs/>
      <w:kern w:val="0"/>
      <w:sz w:val="20"/>
      <w:szCs w:val="20"/>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ico.poder-judicial.go.cr/index.php?option=com_phocadownload&amp;view=category&amp;id=469&amp;Itemid=61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DB1BA4DE546547A683477F15253F8C" ma:contentTypeVersion="18" ma:contentTypeDescription="Crear nuevo documento." ma:contentTypeScope="" ma:versionID="08c7f79242d6e4fdd13673b7ef9d2c5c">
  <xsd:schema xmlns:xsd="http://www.w3.org/2001/XMLSchema" xmlns:xs="http://www.w3.org/2001/XMLSchema" xmlns:p="http://schemas.microsoft.com/office/2006/metadata/properties" xmlns:ns3="201c91a2-3756-4876-b6ad-7cf32d68463e" xmlns:ns4="979fc300-b960-4499-9858-1bc8c0f7dfef" targetNamespace="http://schemas.microsoft.com/office/2006/metadata/properties" ma:root="true" ma:fieldsID="f0dcaf915eefd8dcd40a112bd67dd516" ns3:_="" ns4:_="">
    <xsd:import namespace="201c91a2-3756-4876-b6ad-7cf32d68463e"/>
    <xsd:import namespace="979fc300-b960-4499-9858-1bc8c0f7df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91a2-3756-4876-b6ad-7cf32d684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fc300-b960-4499-9858-1bc8c0f7dfe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1c91a2-3756-4876-b6ad-7cf32d68463e" xsi:nil="true"/>
  </documentManagement>
</p:properties>
</file>

<file path=customXml/itemProps1.xml><?xml version="1.0" encoding="utf-8"?>
<ds:datastoreItem xmlns:ds="http://schemas.openxmlformats.org/officeDocument/2006/customXml" ds:itemID="{998AA9C3-BA7A-4CDB-A392-2ED8DFE4529B}">
  <ds:schemaRefs>
    <ds:schemaRef ds:uri="http://schemas.microsoft.com/sharepoint/v3/contenttype/forms"/>
  </ds:schemaRefs>
</ds:datastoreItem>
</file>

<file path=customXml/itemProps2.xml><?xml version="1.0" encoding="utf-8"?>
<ds:datastoreItem xmlns:ds="http://schemas.openxmlformats.org/officeDocument/2006/customXml" ds:itemID="{49C82A70-F4E5-4BE6-8DEA-B5FDB88E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91a2-3756-4876-b6ad-7cf32d68463e"/>
    <ds:schemaRef ds:uri="979fc300-b960-4499-9858-1bc8c0f7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93F1E-1309-4ABD-A329-0A2CA6494C37}">
  <ds:schemaRefs>
    <ds:schemaRef ds:uri="http://schemas.microsoft.com/office/2006/metadata/properties"/>
    <ds:schemaRef ds:uri="http://schemas.microsoft.com/office/infopath/2007/PartnerControls"/>
    <ds:schemaRef ds:uri="201c91a2-3756-4876-b6ad-7cf32d6846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 Jonathan Aguilar Gómez.</dc:creator>
  <cp:keywords/>
  <dc:description/>
  <cp:lastModifiedBy>Secretaría General de la Corte- Comunicaciones - Katherine Morales Ramírez</cp:lastModifiedBy>
  <cp:revision>2</cp:revision>
  <dcterms:created xsi:type="dcterms:W3CDTF">2024-08-26T16:09:00Z</dcterms:created>
  <dcterms:modified xsi:type="dcterms:W3CDTF">2024-08-26T16:09:00Z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0x010100E9DB1BA4DE546547A683477F15253F8C</vt:lpwstr>
  </property>
</Properties>
</file>