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6D5F2BE4" w:rsidR="0029216A" w:rsidRPr="00F666EA" w:rsidRDefault="006312AE" w:rsidP="00F666EA">
      <w:pPr>
        <w:pStyle w:val="Ttulo7"/>
        <w:tabs>
          <w:tab w:val="clear" w:pos="0"/>
          <w:tab w:val="left" w:pos="4280"/>
        </w:tabs>
        <w:ind w:left="4248"/>
        <w:jc w:val="both"/>
        <w:rPr>
          <w:rFonts w:ascii="Times New Roman" w:hAnsi="Times New Roman"/>
          <w:bCs w:val="0"/>
          <w:u w:val="none"/>
          <w:lang w:val="es-ES_tradnl"/>
        </w:rPr>
      </w:pPr>
      <w:r w:rsidRPr="00F666EA">
        <w:rPr>
          <w:rFonts w:ascii="Times New Roman" w:hAnsi="Times New Roman"/>
          <w:bCs w:val="0"/>
          <w:u w:val="none"/>
          <w:lang w:val="es-ES_tradnl"/>
        </w:rPr>
        <w:t>San José,</w:t>
      </w:r>
      <w:r w:rsidR="00D93E61" w:rsidRPr="00F666EA">
        <w:rPr>
          <w:rFonts w:ascii="Times New Roman" w:hAnsi="Times New Roman"/>
          <w:bCs w:val="0"/>
          <w:u w:val="none"/>
          <w:lang w:val="es-ES_tradnl"/>
        </w:rPr>
        <w:t xml:space="preserve"> </w:t>
      </w:r>
      <w:r w:rsidR="001375DE" w:rsidRPr="00F666EA">
        <w:rPr>
          <w:rFonts w:ascii="Times New Roman" w:hAnsi="Times New Roman"/>
          <w:bCs w:val="0"/>
          <w:u w:val="none"/>
          <w:lang w:val="es-ES_tradnl"/>
        </w:rPr>
        <w:t xml:space="preserve">29 </w:t>
      </w:r>
      <w:r w:rsidR="006A694A" w:rsidRPr="00F666EA">
        <w:rPr>
          <w:rFonts w:ascii="Times New Roman" w:hAnsi="Times New Roman"/>
          <w:bCs w:val="0"/>
          <w:u w:val="none"/>
          <w:lang w:val="es-ES_tradnl"/>
        </w:rPr>
        <w:t xml:space="preserve">de </w:t>
      </w:r>
      <w:r w:rsidR="001375DE" w:rsidRPr="00F666EA">
        <w:rPr>
          <w:rFonts w:ascii="Times New Roman" w:hAnsi="Times New Roman"/>
          <w:bCs w:val="0"/>
          <w:u w:val="none"/>
          <w:lang w:val="es-ES_tradnl"/>
        </w:rPr>
        <w:t>mayo</w:t>
      </w:r>
      <w:r w:rsidR="00860FA5" w:rsidRPr="00F666EA">
        <w:rPr>
          <w:rFonts w:ascii="Times New Roman" w:hAnsi="Times New Roman"/>
          <w:bCs w:val="0"/>
          <w:u w:val="none"/>
          <w:lang w:val="es-ES_tradnl"/>
        </w:rPr>
        <w:t xml:space="preserve"> de 20</w:t>
      </w:r>
      <w:r w:rsidR="00701685" w:rsidRPr="00F666EA">
        <w:rPr>
          <w:rFonts w:ascii="Times New Roman" w:hAnsi="Times New Roman"/>
          <w:bCs w:val="0"/>
          <w:u w:val="none"/>
          <w:lang w:val="es-ES_tradnl"/>
        </w:rPr>
        <w:t>2</w:t>
      </w:r>
      <w:r w:rsidR="00926ED0" w:rsidRPr="00F666EA">
        <w:rPr>
          <w:rFonts w:ascii="Times New Roman" w:hAnsi="Times New Roman"/>
          <w:bCs w:val="0"/>
          <w:u w:val="none"/>
          <w:lang w:val="es-ES_tradnl"/>
        </w:rPr>
        <w:t>3</w:t>
      </w:r>
    </w:p>
    <w:p w14:paraId="47AA7D0E" w14:textId="5DEF9A1B" w:rsidR="0029216A" w:rsidRPr="00F666EA" w:rsidRDefault="00860FA5" w:rsidP="00F666EA">
      <w:pPr>
        <w:pStyle w:val="Ttulo7"/>
        <w:tabs>
          <w:tab w:val="clear" w:pos="0"/>
          <w:tab w:val="left" w:pos="4280"/>
        </w:tabs>
        <w:ind w:left="4248"/>
        <w:jc w:val="both"/>
        <w:rPr>
          <w:rFonts w:ascii="Times New Roman" w:hAnsi="Times New Roman"/>
          <w:u w:val="none"/>
          <w:lang w:val="es-ES_tradnl"/>
        </w:rPr>
      </w:pPr>
      <w:r w:rsidRPr="00F666EA">
        <w:rPr>
          <w:rFonts w:ascii="Times New Roman" w:hAnsi="Times New Roman"/>
          <w:u w:val="none"/>
          <w:lang w:val="es-ES_tradnl"/>
        </w:rPr>
        <w:t>N°</w:t>
      </w:r>
      <w:r w:rsidR="00F976A7" w:rsidRPr="00F666EA">
        <w:rPr>
          <w:rFonts w:ascii="Times New Roman" w:hAnsi="Times New Roman"/>
          <w:u w:val="none"/>
          <w:lang w:val="es-ES_tradnl"/>
        </w:rPr>
        <w:t>465</w:t>
      </w:r>
      <w:r w:rsidR="00321278">
        <w:rPr>
          <w:rFonts w:ascii="Times New Roman" w:hAnsi="Times New Roman"/>
          <w:u w:val="none"/>
          <w:lang w:val="es-ES_tradnl"/>
        </w:rPr>
        <w:t>8</w:t>
      </w:r>
      <w:r w:rsidR="00186ADE" w:rsidRPr="00F666EA">
        <w:rPr>
          <w:rFonts w:ascii="Times New Roman" w:hAnsi="Times New Roman"/>
          <w:u w:val="none"/>
          <w:lang w:val="es-ES_tradnl"/>
        </w:rPr>
        <w:t>-</w:t>
      </w:r>
      <w:r w:rsidR="000F3CA2" w:rsidRPr="00F666EA">
        <w:rPr>
          <w:rFonts w:ascii="Times New Roman" w:hAnsi="Times New Roman"/>
          <w:u w:val="none"/>
          <w:lang w:val="es-ES_tradnl"/>
        </w:rPr>
        <w:t>202</w:t>
      </w:r>
      <w:r w:rsidR="00926ED0" w:rsidRPr="00F666EA">
        <w:rPr>
          <w:rFonts w:ascii="Times New Roman" w:hAnsi="Times New Roman"/>
          <w:u w:val="none"/>
          <w:lang w:val="es-ES_tradnl"/>
        </w:rPr>
        <w:t>3</w:t>
      </w:r>
    </w:p>
    <w:p w14:paraId="1EFDEE6B" w14:textId="0C6B3BD5" w:rsidR="00484095" w:rsidRPr="00F666EA" w:rsidRDefault="0029216A" w:rsidP="00F666EA">
      <w:pPr>
        <w:pStyle w:val="Ttulo7"/>
        <w:tabs>
          <w:tab w:val="clear" w:pos="0"/>
          <w:tab w:val="left" w:pos="4280"/>
        </w:tabs>
        <w:ind w:left="4248"/>
        <w:jc w:val="both"/>
        <w:rPr>
          <w:rFonts w:ascii="Times New Roman" w:hAnsi="Times New Roman"/>
          <w:u w:val="none"/>
          <w:lang w:val="es-CR"/>
        </w:rPr>
      </w:pPr>
      <w:r w:rsidRPr="00F666EA">
        <w:rPr>
          <w:rFonts w:ascii="Times New Roman" w:hAnsi="Times New Roman"/>
          <w:u w:val="none"/>
          <w:lang w:val="es-CR"/>
        </w:rPr>
        <w:t>Al contestar refiérase a este # de oficio</w:t>
      </w:r>
      <w:r w:rsidR="001D4F0C" w:rsidRPr="00F666EA">
        <w:rPr>
          <w:rFonts w:ascii="Times New Roman" w:hAnsi="Times New Roman"/>
          <w:u w:val="none"/>
          <w:lang w:val="es-CR"/>
        </w:rPr>
        <w:t xml:space="preserve"> al correo (</w:t>
      </w:r>
      <w:hyperlink r:id="rId7" w:history="1">
        <w:r w:rsidR="001D4F0C" w:rsidRPr="00F666EA">
          <w:rPr>
            <w:rFonts w:ascii="Times New Roman" w:hAnsi="Times New Roman"/>
          </w:rPr>
          <w:t>secrecorte@poder-judicial.go.cr</w:t>
        </w:r>
      </w:hyperlink>
      <w:r w:rsidR="001D4F0C" w:rsidRPr="00F666EA">
        <w:rPr>
          <w:rFonts w:ascii="Times New Roman" w:hAnsi="Times New Roman"/>
          <w:u w:val="none"/>
          <w:lang w:val="es-CR"/>
        </w:rPr>
        <w:t>)</w:t>
      </w:r>
    </w:p>
    <w:p w14:paraId="295C1027" w14:textId="7530036B" w:rsidR="004A709D" w:rsidRPr="004A709D" w:rsidRDefault="004A709D" w:rsidP="00F666EA">
      <w:pPr>
        <w:jc w:val="both"/>
      </w:pPr>
    </w:p>
    <w:p w14:paraId="47B19B15" w14:textId="039755BD" w:rsidR="009114C0" w:rsidRPr="00F666EA" w:rsidRDefault="009114C0" w:rsidP="00F666EA">
      <w:pPr>
        <w:jc w:val="both"/>
        <w:rPr>
          <w:b/>
          <w:bCs/>
        </w:rPr>
      </w:pPr>
    </w:p>
    <w:p w14:paraId="5FC0F6B8" w14:textId="77777777" w:rsidR="009114C0" w:rsidRPr="00F666EA" w:rsidRDefault="009114C0" w:rsidP="00F666EA">
      <w:pPr>
        <w:jc w:val="both"/>
        <w:rPr>
          <w:b/>
          <w:bCs/>
        </w:rPr>
      </w:pPr>
    </w:p>
    <w:p w14:paraId="7BC59482" w14:textId="77777777" w:rsidR="00F666EA" w:rsidRPr="00F666EA" w:rsidRDefault="00F666EA" w:rsidP="00F666EA">
      <w:pPr>
        <w:autoSpaceDE w:val="0"/>
        <w:snapToGrid w:val="0"/>
        <w:rPr>
          <w:bCs/>
          <w:lang w:eastAsia="hi-IN"/>
        </w:rPr>
      </w:pPr>
      <w:r w:rsidRPr="00F666EA">
        <w:rPr>
          <w:b/>
          <w:bCs/>
        </w:rPr>
        <w:t>Señora</w:t>
      </w:r>
    </w:p>
    <w:p w14:paraId="65DF43C6" w14:textId="77777777" w:rsidR="00F666EA" w:rsidRPr="00F666EA" w:rsidRDefault="00F666EA" w:rsidP="00F666EA">
      <w:pPr>
        <w:autoSpaceDE w:val="0"/>
        <w:snapToGrid w:val="0"/>
        <w:rPr>
          <w:b/>
          <w:bCs/>
        </w:rPr>
      </w:pPr>
      <w:r w:rsidRPr="00F666EA">
        <w:rPr>
          <w:b/>
          <w:bCs/>
        </w:rPr>
        <w:t>Máster Kattia Morales Navarro</w:t>
      </w:r>
    </w:p>
    <w:p w14:paraId="4137E935" w14:textId="77777777" w:rsidR="00F666EA" w:rsidRPr="00F666EA" w:rsidRDefault="00F666EA" w:rsidP="00F666EA">
      <w:pPr>
        <w:autoSpaceDE w:val="0"/>
        <w:snapToGrid w:val="0"/>
        <w:rPr>
          <w:b/>
          <w:bCs/>
        </w:rPr>
      </w:pPr>
      <w:r w:rsidRPr="00F666EA">
        <w:rPr>
          <w:b/>
          <w:bCs/>
        </w:rPr>
        <w:t>Directora de Tecnología de la Información y Comunicación</w:t>
      </w:r>
    </w:p>
    <w:p w14:paraId="18FA6DC6" w14:textId="77777777" w:rsidR="00F666EA" w:rsidRPr="00F666EA" w:rsidRDefault="00F666EA" w:rsidP="00F666EA">
      <w:pPr>
        <w:autoSpaceDE w:val="0"/>
        <w:snapToGrid w:val="0"/>
        <w:spacing w:line="200" w:lineRule="atLeast"/>
        <w:rPr>
          <w:b/>
          <w:bCs/>
        </w:rPr>
      </w:pPr>
    </w:p>
    <w:p w14:paraId="5A51FE66" w14:textId="77777777" w:rsidR="00F666EA" w:rsidRPr="00F666EA" w:rsidRDefault="00F666EA" w:rsidP="00F666EA">
      <w:pPr>
        <w:autoSpaceDE w:val="0"/>
        <w:snapToGrid w:val="0"/>
        <w:spacing w:line="200" w:lineRule="atLeast"/>
        <w:rPr>
          <w:b/>
          <w:bCs/>
        </w:rPr>
      </w:pPr>
      <w:r w:rsidRPr="00F666EA">
        <w:rPr>
          <w:b/>
          <w:bCs/>
        </w:rPr>
        <w:t>Estimada señora:</w:t>
      </w:r>
    </w:p>
    <w:p w14:paraId="0C460CF7" w14:textId="77777777" w:rsidR="00F666EA" w:rsidRPr="00F666EA" w:rsidRDefault="00F666EA" w:rsidP="00F666EA">
      <w:pPr>
        <w:ind w:firstLine="708"/>
        <w:jc w:val="both"/>
        <w:rPr>
          <w:b/>
          <w:bCs/>
          <w:lang w:val="es-CR"/>
        </w:rPr>
      </w:pPr>
    </w:p>
    <w:p w14:paraId="1A012587" w14:textId="2CD1EB8B" w:rsidR="0029216A" w:rsidRPr="00F666EA" w:rsidRDefault="0029216A" w:rsidP="00F666EA">
      <w:pPr>
        <w:ind w:firstLine="708"/>
        <w:jc w:val="both"/>
      </w:pPr>
      <w:r w:rsidRPr="00F666EA">
        <w:t>Para su estimable conocimiento y fines consiguientes, le transcribo el acuerdo tomado por el Consejo Superior del Poder Judicial, en sesión</w:t>
      </w:r>
      <w:r w:rsidR="001375DE" w:rsidRPr="00F666EA">
        <w:rPr>
          <w:b/>
          <w:bCs/>
          <w:lang w:val="es-ES_tradnl"/>
        </w:rPr>
        <w:t xml:space="preserve"> </w:t>
      </w:r>
      <w:proofErr w:type="spellStart"/>
      <w:r w:rsidR="001375DE" w:rsidRPr="00F666EA">
        <w:rPr>
          <w:b/>
          <w:bCs/>
          <w:lang w:val="es-ES_tradnl"/>
        </w:rPr>
        <w:t>N</w:t>
      </w:r>
      <w:r w:rsidR="001375DE" w:rsidRPr="00F666EA">
        <w:rPr>
          <w:b/>
          <w:bCs/>
          <w:lang w:val="es-ES_tradnl"/>
        </w:rPr>
        <w:t>°</w:t>
      </w:r>
      <w:proofErr w:type="spellEnd"/>
      <w:r w:rsidR="001375DE" w:rsidRPr="00F666EA">
        <w:rPr>
          <w:b/>
          <w:bCs/>
          <w:lang w:val="es-ES_tradnl"/>
        </w:rPr>
        <w:t xml:space="preserve"> 43-2</w:t>
      </w:r>
      <w:r w:rsidR="001375DE" w:rsidRPr="00F666EA">
        <w:rPr>
          <w:b/>
          <w:bCs/>
          <w:lang w:val="es-ES_tradnl"/>
        </w:rPr>
        <w:t>02</w:t>
      </w:r>
      <w:r w:rsidR="001375DE" w:rsidRPr="00F666EA">
        <w:rPr>
          <w:b/>
          <w:bCs/>
          <w:lang w:val="es-ES_tradnl"/>
        </w:rPr>
        <w:t>3 celebrada el 23 de mayo de 2023</w:t>
      </w:r>
      <w:r w:rsidR="00B43F30" w:rsidRPr="00F666EA">
        <w:rPr>
          <w:b/>
          <w:bCs/>
        </w:rPr>
        <w:t>,</w:t>
      </w:r>
      <w:r w:rsidRPr="00F666EA">
        <w:t xml:space="preserve"> que literalmente dice:</w:t>
      </w:r>
    </w:p>
    <w:p w14:paraId="5F425729" w14:textId="77777777" w:rsidR="00EF3E70" w:rsidRPr="00F666EA" w:rsidRDefault="00EF3E70" w:rsidP="00F666EA">
      <w:pPr>
        <w:ind w:firstLine="708"/>
        <w:jc w:val="both"/>
      </w:pPr>
    </w:p>
    <w:p w14:paraId="39097C5F" w14:textId="77777777" w:rsidR="0029216A" w:rsidRPr="00F666EA" w:rsidRDefault="0029216A" w:rsidP="00F666EA">
      <w:pPr>
        <w:ind w:firstLine="15"/>
        <w:jc w:val="both"/>
      </w:pPr>
    </w:p>
    <w:p w14:paraId="5F3444C1" w14:textId="71204DF5" w:rsidR="00F666EA" w:rsidRPr="00F666EA" w:rsidRDefault="00294863" w:rsidP="00F666EA">
      <w:pPr>
        <w:keepNext/>
        <w:tabs>
          <w:tab w:val="num" w:pos="0"/>
        </w:tabs>
        <w:jc w:val="center"/>
        <w:outlineLvl w:val="1"/>
        <w:rPr>
          <w:rFonts w:eastAsia="Malgun Gothic"/>
          <w:b/>
          <w:bCs/>
          <w:color w:val="FF0000"/>
          <w:u w:val="single"/>
          <w:lang w:eastAsia="ko-KR"/>
        </w:rPr>
      </w:pPr>
      <w:r w:rsidRPr="00F666EA">
        <w:t>“</w:t>
      </w:r>
      <w:bookmarkStart w:id="0" w:name="_Toc135744820"/>
      <w:r w:rsidR="00F666EA" w:rsidRPr="00F666EA">
        <w:rPr>
          <w:rFonts w:eastAsia="Malgun Gothic"/>
          <w:b/>
          <w:bCs/>
          <w:u w:val="single"/>
          <w:lang w:eastAsia="ko-KR"/>
        </w:rPr>
        <w:t xml:space="preserve">ARTÍCULO XIV </w:t>
      </w:r>
      <w:bookmarkEnd w:id="0"/>
    </w:p>
    <w:p w14:paraId="2399CB4F" w14:textId="77777777" w:rsidR="00F666EA" w:rsidRPr="00F666EA" w:rsidRDefault="00F666EA" w:rsidP="00F666EA">
      <w:pPr>
        <w:keepNext/>
        <w:jc w:val="both"/>
        <w:rPr>
          <w:rFonts w:eastAsia="Malgun Gothic"/>
          <w:b/>
          <w:bCs/>
          <w:color w:val="FF0000"/>
          <w:lang w:eastAsia="ko-KR"/>
        </w:rPr>
      </w:pPr>
    </w:p>
    <w:p w14:paraId="1C772A70" w14:textId="716DFD42" w:rsidR="00F666EA" w:rsidRPr="00F666EA" w:rsidRDefault="00F666EA" w:rsidP="00F666EA">
      <w:pPr>
        <w:keepNext/>
        <w:jc w:val="both"/>
        <w:rPr>
          <w:rFonts w:eastAsia="Malgun Gothic"/>
          <w:b/>
          <w:lang w:eastAsia="ko-KR"/>
        </w:rPr>
      </w:pPr>
      <w:r w:rsidRPr="00F666EA">
        <w:rPr>
          <w:rFonts w:eastAsia="Malgun Gothic"/>
          <w:b/>
          <w:lang w:eastAsia="ko-KR"/>
        </w:rPr>
        <w:t xml:space="preserve">Documento </w:t>
      </w:r>
      <w:proofErr w:type="spellStart"/>
      <w:r w:rsidRPr="00F666EA">
        <w:rPr>
          <w:rFonts w:eastAsia="Malgun Gothic"/>
          <w:b/>
          <w:lang w:eastAsia="ko-KR"/>
        </w:rPr>
        <w:t>N°</w:t>
      </w:r>
      <w:proofErr w:type="spellEnd"/>
      <w:r w:rsidRPr="00F666EA">
        <w:rPr>
          <w:rFonts w:eastAsia="Malgun Gothic"/>
          <w:b/>
          <w:bCs/>
          <w:lang w:eastAsia="ko-KR"/>
        </w:rPr>
        <w:t xml:space="preserve"> </w:t>
      </w:r>
      <w:r w:rsidRPr="00F666EA">
        <w:rPr>
          <w:rFonts w:eastAsia="Malgun Gothic"/>
          <w:b/>
          <w:lang w:eastAsia="ko-KR"/>
        </w:rPr>
        <w:t>4842-2023</w:t>
      </w:r>
    </w:p>
    <w:p w14:paraId="56FD3F2F" w14:textId="77777777" w:rsidR="00F666EA" w:rsidRPr="00F666EA" w:rsidRDefault="00F666EA" w:rsidP="00F666EA">
      <w:pPr>
        <w:keepNext/>
        <w:jc w:val="both"/>
        <w:rPr>
          <w:rFonts w:eastAsia="Malgun Gothic"/>
          <w:b/>
          <w:lang w:eastAsia="ko-KR"/>
        </w:rPr>
      </w:pPr>
    </w:p>
    <w:p w14:paraId="22A3C848" w14:textId="4C6DC37E" w:rsidR="00F666EA" w:rsidRPr="00F666EA" w:rsidRDefault="00F666EA" w:rsidP="00F666EA">
      <w:pPr>
        <w:tabs>
          <w:tab w:val="left" w:pos="851"/>
          <w:tab w:val="left" w:pos="8080"/>
        </w:tabs>
        <w:jc w:val="both"/>
        <w:rPr>
          <w:rFonts w:eastAsia="Malgun Gothic"/>
          <w:bCs/>
          <w:lang w:eastAsia="ko-KR"/>
        </w:rPr>
      </w:pPr>
      <w:r w:rsidRPr="00F666EA">
        <w:rPr>
          <w:rFonts w:eastAsia="Malgun Gothic"/>
          <w:bCs/>
          <w:lang w:eastAsia="ko-KR"/>
        </w:rPr>
        <w:tab/>
        <w:t xml:space="preserve">La máster Ana Eugenia Romero Jenkins, </w:t>
      </w:r>
      <w:proofErr w:type="gramStart"/>
      <w:r w:rsidRPr="00F666EA">
        <w:rPr>
          <w:rFonts w:eastAsia="Malgun Gothic"/>
          <w:bCs/>
          <w:lang w:eastAsia="ko-KR"/>
        </w:rPr>
        <w:t>Directora Ejecutiva</w:t>
      </w:r>
      <w:proofErr w:type="gramEnd"/>
      <w:r w:rsidRPr="00F666EA">
        <w:rPr>
          <w:rFonts w:eastAsia="Malgun Gothic"/>
          <w:bCs/>
          <w:lang w:eastAsia="ko-KR"/>
        </w:rPr>
        <w:t xml:space="preserve">, mediante oficio </w:t>
      </w:r>
      <w:proofErr w:type="spellStart"/>
      <w:r w:rsidRPr="00F666EA">
        <w:rPr>
          <w:rFonts w:eastAsia="Malgun Gothic"/>
          <w:bCs/>
          <w:lang w:eastAsia="ko-KR"/>
        </w:rPr>
        <w:t>N°</w:t>
      </w:r>
      <w:proofErr w:type="spellEnd"/>
      <w:r w:rsidRPr="00F666EA">
        <w:rPr>
          <w:rFonts w:eastAsia="Malgun Gothic"/>
          <w:bCs/>
          <w:lang w:eastAsia="ko-KR"/>
        </w:rPr>
        <w:t xml:space="preserve"> 1375-DE-2023 del 10 de mayo de 2023, informó lo siguiente: </w:t>
      </w:r>
    </w:p>
    <w:p w14:paraId="29F19550" w14:textId="77777777" w:rsidR="00F666EA" w:rsidRPr="00F666EA" w:rsidRDefault="00F666EA" w:rsidP="00F666EA">
      <w:pPr>
        <w:tabs>
          <w:tab w:val="left" w:pos="851"/>
          <w:tab w:val="left" w:pos="8080"/>
        </w:tabs>
        <w:jc w:val="both"/>
        <w:rPr>
          <w:rFonts w:eastAsia="Malgun Gothic"/>
          <w:bCs/>
          <w:lang w:eastAsia="ko-KR"/>
        </w:rPr>
      </w:pPr>
    </w:p>
    <w:p w14:paraId="0047317A"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t xml:space="preserve">“Para conocimiento del Consejo Superior, me permito remitir oficio </w:t>
      </w:r>
      <w:proofErr w:type="spellStart"/>
      <w:r w:rsidRPr="00F666EA">
        <w:rPr>
          <w:rFonts w:eastAsia="Malgun Gothic"/>
          <w:lang w:eastAsia="ko-KR"/>
        </w:rPr>
        <w:t>N°</w:t>
      </w:r>
      <w:proofErr w:type="spellEnd"/>
      <w:r w:rsidRPr="00F666EA">
        <w:rPr>
          <w:rFonts w:eastAsia="Malgun Gothic"/>
          <w:lang w:eastAsia="ko-KR"/>
        </w:rPr>
        <w:t xml:space="preserve"> 0141-SC2023 de fecha 8 de mayo en curso, suscrito por el MBA Miguel Ovares Chavarría, </w:t>
      </w:r>
      <w:proofErr w:type="gramStart"/>
      <w:r w:rsidRPr="00F666EA">
        <w:rPr>
          <w:rFonts w:eastAsia="Malgun Gothic"/>
          <w:lang w:eastAsia="ko-KR"/>
        </w:rPr>
        <w:t>Jefe</w:t>
      </w:r>
      <w:proofErr w:type="gramEnd"/>
      <w:r w:rsidRPr="00F666EA">
        <w:rPr>
          <w:rFonts w:eastAsia="Malgun Gothic"/>
          <w:lang w:eastAsia="ko-KR"/>
        </w:rPr>
        <w:t xml:space="preserve"> del Departamento Financiero Contable, mediante el cual traslada el </w:t>
      </w:r>
      <w:r w:rsidRPr="00F666EA">
        <w:rPr>
          <w:rFonts w:eastAsia="Malgun Gothic"/>
          <w:b/>
          <w:lang w:eastAsia="ko-KR"/>
        </w:rPr>
        <w:t xml:space="preserve">Informe de los Estados Financieros del Poder Judicial al 31 de diciembre del 2022 debidamente auditados. </w:t>
      </w:r>
    </w:p>
    <w:p w14:paraId="4641B517"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t xml:space="preserve"> </w:t>
      </w:r>
    </w:p>
    <w:p w14:paraId="61CD0DCB"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t xml:space="preserve">Al respecto, resulta importante resaltar que la opinión de los Auditores Independientes, indica:  </w:t>
      </w:r>
    </w:p>
    <w:p w14:paraId="12971631"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t xml:space="preserve"> </w:t>
      </w:r>
    </w:p>
    <w:p w14:paraId="493B096D" w14:textId="77777777" w:rsidR="00F666EA" w:rsidRPr="00F666EA" w:rsidRDefault="00F666EA" w:rsidP="00F666EA">
      <w:pPr>
        <w:ind w:left="851" w:right="851" w:firstLine="709"/>
        <w:jc w:val="both"/>
        <w:rPr>
          <w:rFonts w:eastAsia="Malgun Gothic"/>
          <w:lang w:eastAsia="ko-KR"/>
        </w:rPr>
      </w:pPr>
      <w:r w:rsidRPr="00F666EA">
        <w:rPr>
          <w:rFonts w:eastAsia="Malgun Gothic"/>
          <w:i/>
          <w:lang w:eastAsia="ko-KR"/>
        </w:rPr>
        <w:t xml:space="preserve">“[…] En nuestra opinión, los estados financieros antes mencionados presentan razonablemente, en todos sus aspectos materiales, </w:t>
      </w:r>
      <w:r w:rsidRPr="00F666EA">
        <w:rPr>
          <w:rFonts w:eastAsia="Malgun Gothic"/>
          <w:b/>
          <w:i/>
          <w:u w:val="single" w:color="000000"/>
          <w:lang w:eastAsia="ko-KR"/>
        </w:rPr>
        <w:t>la imagen fiel de la situación</w:t>
      </w:r>
      <w:r w:rsidRPr="00F666EA">
        <w:rPr>
          <w:rFonts w:eastAsia="Malgun Gothic"/>
          <w:b/>
          <w:i/>
          <w:lang w:eastAsia="ko-KR"/>
        </w:rPr>
        <w:t xml:space="preserve"> </w:t>
      </w:r>
      <w:r w:rsidRPr="00F666EA">
        <w:rPr>
          <w:rFonts w:eastAsia="Malgun Gothic"/>
          <w:b/>
          <w:i/>
          <w:u w:val="single" w:color="000000"/>
          <w:lang w:eastAsia="ko-KR"/>
        </w:rPr>
        <w:t>financiera del Poder Judicial, al 31 de diciembre de 2022; así como los resultados</w:t>
      </w:r>
      <w:r w:rsidRPr="00F666EA">
        <w:rPr>
          <w:rFonts w:eastAsia="Malgun Gothic"/>
          <w:b/>
          <w:i/>
          <w:lang w:eastAsia="ko-KR"/>
        </w:rPr>
        <w:t xml:space="preserve"> </w:t>
      </w:r>
      <w:r w:rsidRPr="00F666EA">
        <w:rPr>
          <w:rFonts w:eastAsia="Malgun Gothic"/>
          <w:b/>
          <w:i/>
          <w:u w:val="single" w:color="000000"/>
          <w:lang w:eastAsia="ko-KR"/>
        </w:rPr>
        <w:t>de sus operaciones, los cambios en el patrimonio neto y sus flujos de efectivo</w:t>
      </w:r>
      <w:r w:rsidRPr="00F666EA">
        <w:rPr>
          <w:rFonts w:eastAsia="Malgun Gothic"/>
          <w:b/>
          <w:i/>
          <w:lang w:eastAsia="ko-KR"/>
        </w:rPr>
        <w:t xml:space="preserve"> </w:t>
      </w:r>
      <w:r w:rsidRPr="00F666EA">
        <w:rPr>
          <w:rFonts w:eastAsia="Malgun Gothic"/>
          <w:b/>
          <w:i/>
          <w:u w:val="single" w:color="000000"/>
          <w:lang w:eastAsia="ko-KR"/>
        </w:rPr>
        <w:t>por el periodo terminado en dicha fecha</w:t>
      </w:r>
      <w:r w:rsidRPr="00F666EA">
        <w:rPr>
          <w:rFonts w:eastAsia="Malgun Gothic"/>
          <w:i/>
          <w:lang w:eastAsia="ko-KR"/>
        </w:rPr>
        <w:t>…</w:t>
      </w:r>
      <w:proofErr w:type="gramStart"/>
      <w:r w:rsidRPr="00F666EA">
        <w:rPr>
          <w:rFonts w:eastAsia="Malgun Gothic"/>
          <w:i/>
          <w:lang w:eastAsia="ko-KR"/>
        </w:rPr>
        <w:t>”.(</w:t>
      </w:r>
      <w:proofErr w:type="gramEnd"/>
      <w:r w:rsidRPr="00F666EA">
        <w:rPr>
          <w:rFonts w:eastAsia="Malgun Gothic"/>
          <w:i/>
          <w:lang w:eastAsia="ko-KR"/>
        </w:rPr>
        <w:t xml:space="preserve">el resaltado es propio) </w:t>
      </w:r>
    </w:p>
    <w:p w14:paraId="78E57A34"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t xml:space="preserve"> </w:t>
      </w:r>
    </w:p>
    <w:p w14:paraId="168E1467"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lastRenderedPageBreak/>
        <w:t xml:space="preserve">No obstante, se recomienda al Consejo Superior acoger las recomendaciones que se le dirigen en la </w:t>
      </w:r>
      <w:r w:rsidRPr="00F666EA">
        <w:rPr>
          <w:rFonts w:eastAsia="Malgun Gothic"/>
          <w:b/>
          <w:i/>
          <w:lang w:eastAsia="ko-KR"/>
        </w:rPr>
        <w:t xml:space="preserve">Carta de Gerencia CG-TI 2022 Informe de Auditoría de Tecnologías de Información </w:t>
      </w:r>
      <w:r w:rsidRPr="00F666EA">
        <w:rPr>
          <w:rFonts w:eastAsia="Malgun Gothic"/>
          <w:lang w:eastAsia="ko-KR"/>
        </w:rPr>
        <w:t xml:space="preserve">y girar instrucciones a la Dirección de Tecnología de Información y Comunicación para que se atiendan los hallazgos y recomendaciones señalados en el documento citado, así como la Dirección de Gestión Humana para que haga lo propio respecto a la </w:t>
      </w:r>
      <w:r w:rsidRPr="00F666EA">
        <w:rPr>
          <w:rFonts w:eastAsia="Malgun Gothic"/>
          <w:b/>
          <w:i/>
          <w:lang w:eastAsia="ko-KR"/>
        </w:rPr>
        <w:t>Carta de Gerencia CG1-2022.</w:t>
      </w:r>
      <w:r w:rsidRPr="00F666EA">
        <w:rPr>
          <w:rFonts w:eastAsia="Malgun Gothic"/>
          <w:lang w:eastAsia="ko-KR"/>
        </w:rPr>
        <w:t xml:space="preserve"> </w:t>
      </w:r>
    </w:p>
    <w:p w14:paraId="63B18277" w14:textId="77777777" w:rsidR="00F666EA" w:rsidRPr="00F666EA" w:rsidRDefault="00F666EA" w:rsidP="00F666EA">
      <w:pPr>
        <w:ind w:left="851" w:right="851" w:firstLine="709"/>
        <w:jc w:val="both"/>
        <w:rPr>
          <w:rFonts w:eastAsia="Malgun Gothic"/>
          <w:lang w:eastAsia="ko-KR"/>
        </w:rPr>
      </w:pPr>
      <w:r w:rsidRPr="00F666EA">
        <w:rPr>
          <w:rFonts w:eastAsia="Malgun Gothic"/>
          <w:lang w:eastAsia="ko-KR"/>
        </w:rPr>
        <w:t xml:space="preserve"> </w:t>
      </w:r>
    </w:p>
    <w:p w14:paraId="2BE70146" w14:textId="77777777" w:rsidR="00F666EA" w:rsidRPr="00F666EA" w:rsidRDefault="00F666EA" w:rsidP="00F666EA">
      <w:pPr>
        <w:tabs>
          <w:tab w:val="left" w:pos="851"/>
          <w:tab w:val="left" w:pos="8080"/>
        </w:tabs>
        <w:ind w:left="851" w:right="851" w:firstLine="709"/>
        <w:jc w:val="both"/>
        <w:rPr>
          <w:rFonts w:eastAsia="Malgun Gothic"/>
          <w:lang w:eastAsia="ko-KR"/>
        </w:rPr>
      </w:pPr>
      <w:r w:rsidRPr="00F666EA">
        <w:rPr>
          <w:rFonts w:eastAsia="Malgun Gothic"/>
          <w:lang w:eastAsia="ko-KR"/>
        </w:rPr>
        <w:t>Importante adicionar que se presentan recomendaciones para la Auditoría Judicial las cuales se deberán hacer de su conocimiento para lo que estime.”</w:t>
      </w:r>
    </w:p>
    <w:p w14:paraId="58289F70" w14:textId="77777777" w:rsidR="00F666EA" w:rsidRPr="00F666EA" w:rsidRDefault="00F666EA" w:rsidP="00F666EA">
      <w:pPr>
        <w:tabs>
          <w:tab w:val="left" w:pos="851"/>
          <w:tab w:val="left" w:pos="8080"/>
        </w:tabs>
        <w:ind w:left="851" w:right="851" w:firstLine="709"/>
        <w:jc w:val="both"/>
        <w:rPr>
          <w:rFonts w:eastAsia="Malgun Gothic"/>
          <w:bCs/>
          <w:lang w:eastAsia="ko-KR"/>
        </w:rPr>
      </w:pPr>
    </w:p>
    <w:p w14:paraId="297970B1" w14:textId="77777777" w:rsidR="00F666EA" w:rsidRPr="00F666EA" w:rsidRDefault="00F666EA" w:rsidP="00F666EA">
      <w:pPr>
        <w:tabs>
          <w:tab w:val="left" w:pos="851"/>
          <w:tab w:val="left" w:pos="8080"/>
        </w:tabs>
        <w:ind w:left="851" w:right="851"/>
        <w:jc w:val="center"/>
        <w:rPr>
          <w:rFonts w:eastAsia="Malgun Gothic"/>
          <w:bCs/>
          <w:lang w:eastAsia="ko-KR"/>
        </w:rPr>
      </w:pPr>
      <w:r w:rsidRPr="00F666EA">
        <w:rPr>
          <w:rFonts w:eastAsia="Malgun Gothic"/>
          <w:lang w:eastAsia="ko-KR"/>
        </w:rPr>
        <w:object w:dxaOrig="1543" w:dyaOrig="1000" w14:anchorId="3C1A7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7.25pt;height:50.4pt" o:ole="">
            <v:imagedata r:id="rId8" o:title=""/>
          </v:shape>
          <o:OLEObject Type="Embed" ProgID="Acrobat.Document.DC" ShapeID="_x0000_i1064" DrawAspect="Icon" ObjectID="_1746854744" r:id="rId9"/>
        </w:object>
      </w:r>
    </w:p>
    <w:p w14:paraId="32E50A72" w14:textId="33F9DE0D" w:rsidR="00F666EA" w:rsidRPr="00F666EA" w:rsidRDefault="00F666EA" w:rsidP="00F666EA">
      <w:pPr>
        <w:jc w:val="center"/>
        <w:rPr>
          <w:rFonts w:eastAsia="Malgun Gothic"/>
          <w:lang w:eastAsia="ko-KR"/>
        </w:rPr>
      </w:pPr>
      <w:r w:rsidRPr="00F666EA">
        <w:rPr>
          <w:rFonts w:eastAsia="Malgun Gothic"/>
          <w:lang w:eastAsia="ko-KR"/>
        </w:rPr>
        <w:t>-0-</w:t>
      </w:r>
    </w:p>
    <w:p w14:paraId="13C87736" w14:textId="77777777" w:rsidR="00F666EA" w:rsidRPr="00F666EA" w:rsidRDefault="00F666EA" w:rsidP="00F666EA">
      <w:pPr>
        <w:jc w:val="center"/>
        <w:rPr>
          <w:rFonts w:eastAsia="Malgun Gothic"/>
          <w:lang w:eastAsia="ko-KR"/>
        </w:rPr>
      </w:pPr>
    </w:p>
    <w:p w14:paraId="17CE9095" w14:textId="0C9207F8" w:rsidR="00F666EA" w:rsidRPr="00F666EA" w:rsidRDefault="00F666EA" w:rsidP="00F666EA">
      <w:pPr>
        <w:ind w:firstLine="708"/>
        <w:jc w:val="both"/>
        <w:rPr>
          <w:rFonts w:eastAsia="Malgun Gothic"/>
          <w:bCs/>
          <w:lang w:eastAsia="ko-KR"/>
        </w:rPr>
      </w:pPr>
      <w:r w:rsidRPr="00F666EA">
        <w:rPr>
          <w:rFonts w:eastAsia="Malgun Gothic"/>
          <w:b/>
          <w:bCs/>
          <w:lang w:eastAsia="ko-KR"/>
        </w:rPr>
        <w:t>Se acordó:</w:t>
      </w:r>
      <w:r w:rsidRPr="00F666EA">
        <w:rPr>
          <w:rFonts w:eastAsia="Malgun Gothic"/>
          <w:lang w:eastAsia="ko-KR"/>
        </w:rPr>
        <w:t xml:space="preserve"> </w:t>
      </w:r>
      <w:r w:rsidRPr="00F666EA">
        <w:rPr>
          <w:rFonts w:eastAsia="Malgun Gothic"/>
          <w:b/>
          <w:bCs/>
          <w:lang w:eastAsia="ko-KR"/>
        </w:rPr>
        <w:t>1.)</w:t>
      </w:r>
      <w:r w:rsidRPr="00F666EA">
        <w:rPr>
          <w:rFonts w:eastAsia="Malgun Gothic"/>
          <w:lang w:eastAsia="ko-KR"/>
        </w:rPr>
        <w:t xml:space="preserve"> </w:t>
      </w:r>
      <w:r w:rsidRPr="00F666EA">
        <w:rPr>
          <w:rFonts w:eastAsia="Malgun Gothic"/>
          <w:bCs/>
          <w:lang w:eastAsia="ko-KR"/>
        </w:rPr>
        <w:t xml:space="preserve">Tener por conocido el oficio </w:t>
      </w:r>
      <w:proofErr w:type="spellStart"/>
      <w:r w:rsidRPr="00F666EA">
        <w:rPr>
          <w:rFonts w:eastAsia="Malgun Gothic"/>
          <w:bCs/>
          <w:lang w:eastAsia="ko-KR"/>
        </w:rPr>
        <w:t>N°</w:t>
      </w:r>
      <w:proofErr w:type="spellEnd"/>
      <w:r w:rsidRPr="00F666EA">
        <w:rPr>
          <w:rFonts w:eastAsia="Malgun Gothic"/>
          <w:bCs/>
          <w:lang w:eastAsia="ko-KR"/>
        </w:rPr>
        <w:t xml:space="preserve"> 1375-DE-2023 del 10 de mayo de 2023, suscrito por la máster Ana Eugenia Romero Jenkins, </w:t>
      </w:r>
      <w:proofErr w:type="gramStart"/>
      <w:r w:rsidRPr="00F666EA">
        <w:rPr>
          <w:rFonts w:eastAsia="Malgun Gothic"/>
          <w:bCs/>
          <w:lang w:eastAsia="ko-KR"/>
        </w:rPr>
        <w:t>Directora Ejecutiva</w:t>
      </w:r>
      <w:proofErr w:type="gramEnd"/>
      <w:r w:rsidRPr="00F666EA">
        <w:rPr>
          <w:rFonts w:eastAsia="Malgun Gothic"/>
          <w:bCs/>
          <w:lang w:eastAsia="ko-KR"/>
        </w:rPr>
        <w:t xml:space="preserve">, mediante el cual remite el informe </w:t>
      </w:r>
      <w:proofErr w:type="spellStart"/>
      <w:r w:rsidRPr="00F666EA">
        <w:rPr>
          <w:rFonts w:eastAsia="Malgun Gothic"/>
          <w:bCs/>
          <w:lang w:eastAsia="ko-KR"/>
        </w:rPr>
        <w:t>N°</w:t>
      </w:r>
      <w:proofErr w:type="spellEnd"/>
      <w:r w:rsidRPr="00F666EA">
        <w:rPr>
          <w:rFonts w:eastAsia="Malgun Gothic"/>
          <w:bCs/>
          <w:lang w:eastAsia="ko-KR"/>
        </w:rPr>
        <w:t xml:space="preserve"> 0141-SC2023 de fecha 8 de mayo de 2023, suscrito por el máster Miguel Ovares Chavarría, Jefe del Departamento Financiero Contable, referente al Informe de los Estados Financieros del Poder Judicial al 31 de diciembre del 2022 debidamente auditados. </w:t>
      </w:r>
      <w:r w:rsidRPr="00F666EA">
        <w:rPr>
          <w:rFonts w:eastAsia="Malgun Gothic"/>
          <w:b/>
          <w:lang w:eastAsia="ko-KR"/>
        </w:rPr>
        <w:t>2.)</w:t>
      </w:r>
      <w:r w:rsidRPr="00F666EA">
        <w:rPr>
          <w:rFonts w:eastAsia="Malgun Gothic"/>
          <w:bCs/>
          <w:lang w:eastAsia="ko-KR"/>
        </w:rPr>
        <w:t xml:space="preserve"> Hacer de conocimiento de la Dirección de Tecnología de la Información y Comunicaciones, la Dirección de Gestión Humana para que atiendan las recomendaciones emitidas en el citado informe.</w:t>
      </w:r>
    </w:p>
    <w:p w14:paraId="59487528" w14:textId="77777777" w:rsidR="00F666EA" w:rsidRPr="00F666EA" w:rsidRDefault="00F666EA" w:rsidP="00F666EA">
      <w:pPr>
        <w:ind w:firstLine="708"/>
        <w:jc w:val="both"/>
        <w:rPr>
          <w:rFonts w:eastAsia="Malgun Gothic"/>
          <w:bCs/>
          <w:lang w:eastAsia="ko-KR"/>
        </w:rPr>
      </w:pPr>
    </w:p>
    <w:p w14:paraId="42487581" w14:textId="0366C4C1" w:rsidR="00294863" w:rsidRDefault="00F666EA" w:rsidP="00F666EA">
      <w:pPr>
        <w:ind w:firstLine="708"/>
        <w:jc w:val="both"/>
        <w:rPr>
          <w:rFonts w:eastAsia="Malgun Gothic"/>
          <w:b/>
          <w:color w:val="000099"/>
          <w:lang w:eastAsia="ko-KR"/>
        </w:rPr>
      </w:pPr>
      <w:r w:rsidRPr="00F666EA">
        <w:rPr>
          <w:rFonts w:eastAsia="Malgun Gothic"/>
          <w:bCs/>
          <w:lang w:eastAsia="ko-KR"/>
        </w:rPr>
        <w:t>La Auditoria tomara nota para lo que corresponda.</w:t>
      </w:r>
      <w:r w:rsidRPr="00F666EA">
        <w:rPr>
          <w:lang w:val="es-ES_tradnl"/>
        </w:rPr>
        <w:t xml:space="preserve"> </w:t>
      </w:r>
      <w:r w:rsidRPr="00F666EA">
        <w:rPr>
          <w:rFonts w:eastAsia="Malgun Gothic"/>
          <w:b/>
          <w:lang w:eastAsia="ko-KR"/>
        </w:rPr>
        <w:t>Se declara acuerdo firme</w:t>
      </w:r>
      <w:r w:rsidRPr="00F666EA">
        <w:rPr>
          <w:rFonts w:eastAsia="Malgun Gothic"/>
          <w:bCs/>
          <w:lang w:eastAsia="ko-KR"/>
        </w:rPr>
        <w:t xml:space="preserve">. </w:t>
      </w:r>
    </w:p>
    <w:p w14:paraId="1896C5CE" w14:textId="77777777" w:rsidR="00F666EA" w:rsidRPr="00F666EA" w:rsidRDefault="00F666EA" w:rsidP="00F666EA">
      <w:pPr>
        <w:ind w:firstLine="708"/>
        <w:jc w:val="both"/>
        <w:rPr>
          <w:rFonts w:eastAsia="Malgun Gothic"/>
          <w:b/>
          <w:color w:val="000099"/>
          <w:lang w:eastAsia="ko-KR"/>
        </w:rPr>
      </w:pPr>
    </w:p>
    <w:p w14:paraId="70D09BB2" w14:textId="77777777" w:rsidR="009033DA" w:rsidRPr="00F666EA" w:rsidRDefault="009033DA" w:rsidP="00F666EA">
      <w:pPr>
        <w:widowControl w:val="0"/>
        <w:autoSpaceDE w:val="0"/>
        <w:autoSpaceDN w:val="0"/>
        <w:adjustRightInd w:val="0"/>
        <w:ind w:left="851" w:right="851"/>
        <w:jc w:val="both"/>
      </w:pPr>
    </w:p>
    <w:p w14:paraId="0DF1E099" w14:textId="77777777" w:rsidR="003D6337" w:rsidRPr="00F666EA" w:rsidRDefault="00561024" w:rsidP="00F666EA">
      <w:pPr>
        <w:tabs>
          <w:tab w:val="left" w:pos="4295"/>
        </w:tabs>
        <w:ind w:left="3969"/>
        <w:jc w:val="both"/>
        <w:rPr>
          <w:b/>
          <w:bCs/>
        </w:rPr>
      </w:pPr>
      <w:r w:rsidRPr="00F666EA">
        <w:rPr>
          <w:b/>
          <w:bCs/>
        </w:rPr>
        <w:t>A</w:t>
      </w:r>
      <w:r w:rsidR="003D6337" w:rsidRPr="00F666EA">
        <w:rPr>
          <w:b/>
          <w:bCs/>
        </w:rPr>
        <w:t xml:space="preserve">tentamente, </w:t>
      </w:r>
    </w:p>
    <w:p w14:paraId="644C83D9" w14:textId="77777777" w:rsidR="003D6337" w:rsidRPr="00F666EA" w:rsidRDefault="003D6337" w:rsidP="00F666EA">
      <w:pPr>
        <w:jc w:val="both"/>
        <w:rPr>
          <w:b/>
          <w:bCs/>
        </w:rPr>
      </w:pPr>
    </w:p>
    <w:p w14:paraId="7F602E28" w14:textId="77777777" w:rsidR="00A93390" w:rsidRPr="00F666EA" w:rsidRDefault="00A93390" w:rsidP="00321278">
      <w:pPr>
        <w:jc w:val="both"/>
        <w:rPr>
          <w:b/>
          <w:bCs/>
          <w:lang w:val="es-ES_tradnl"/>
        </w:rPr>
      </w:pPr>
    </w:p>
    <w:p w14:paraId="309356D4" w14:textId="77777777" w:rsidR="00910D0C" w:rsidRPr="00F666EA" w:rsidRDefault="00910D0C" w:rsidP="00F666EA">
      <w:pPr>
        <w:ind w:left="3969"/>
        <w:jc w:val="both"/>
        <w:rPr>
          <w:b/>
          <w:bCs/>
          <w:lang w:val="es-ES_tradnl"/>
        </w:rPr>
      </w:pPr>
    </w:p>
    <w:p w14:paraId="2BF0022F" w14:textId="77777777" w:rsidR="00E33030" w:rsidRPr="00F666EA" w:rsidRDefault="00E33030" w:rsidP="00F666EA">
      <w:pPr>
        <w:pStyle w:val="Ttulo53"/>
        <w:tabs>
          <w:tab w:val="left" w:pos="708"/>
        </w:tabs>
        <w:ind w:left="3969"/>
        <w:jc w:val="both"/>
        <w:rPr>
          <w:rFonts w:eastAsia="Times New Roman"/>
          <w:i w:val="0"/>
          <w:iCs w:val="0"/>
          <w:sz w:val="24"/>
          <w:szCs w:val="24"/>
          <w:u w:val="none"/>
          <w:shd w:val="clear" w:color="auto" w:fill="auto"/>
        </w:rPr>
      </w:pPr>
      <w:r w:rsidRPr="00F666EA">
        <w:rPr>
          <w:rFonts w:eastAsia="Times New Roman"/>
          <w:i w:val="0"/>
          <w:iCs w:val="0"/>
          <w:sz w:val="24"/>
          <w:szCs w:val="24"/>
          <w:u w:val="none"/>
          <w:shd w:val="clear" w:color="auto" w:fill="auto"/>
        </w:rPr>
        <w:t>Kenneth Aguilar Hernández</w:t>
      </w:r>
    </w:p>
    <w:p w14:paraId="31909553" w14:textId="77777777" w:rsidR="00E33030" w:rsidRPr="00F666EA" w:rsidRDefault="00E33030" w:rsidP="00F666EA">
      <w:pPr>
        <w:pStyle w:val="Ttulo53"/>
        <w:tabs>
          <w:tab w:val="left" w:pos="708"/>
        </w:tabs>
        <w:ind w:left="3969"/>
        <w:jc w:val="both"/>
        <w:rPr>
          <w:rFonts w:eastAsia="Times New Roman"/>
          <w:i w:val="0"/>
          <w:iCs w:val="0"/>
          <w:sz w:val="24"/>
          <w:szCs w:val="24"/>
          <w:u w:val="none"/>
          <w:shd w:val="clear" w:color="auto" w:fill="auto"/>
        </w:rPr>
      </w:pPr>
      <w:r w:rsidRPr="00F666EA">
        <w:rPr>
          <w:rFonts w:eastAsia="Times New Roman"/>
          <w:i w:val="0"/>
          <w:iCs w:val="0"/>
          <w:sz w:val="24"/>
          <w:szCs w:val="24"/>
          <w:u w:val="none"/>
          <w:shd w:val="clear" w:color="auto" w:fill="auto"/>
        </w:rPr>
        <w:t>Prosecretario General</w:t>
      </w:r>
    </w:p>
    <w:p w14:paraId="6DB248D2" w14:textId="260509B1" w:rsidR="00186ADE" w:rsidRPr="00F666EA" w:rsidRDefault="00E33030" w:rsidP="00F666EA">
      <w:pPr>
        <w:pStyle w:val="Ttulo53"/>
        <w:keepNext w:val="0"/>
        <w:tabs>
          <w:tab w:val="clear" w:pos="0"/>
          <w:tab w:val="left" w:pos="708"/>
        </w:tabs>
        <w:ind w:left="3969"/>
        <w:jc w:val="both"/>
        <w:rPr>
          <w:rFonts w:eastAsia="Times New Roman"/>
          <w:i w:val="0"/>
          <w:iCs w:val="0"/>
          <w:sz w:val="24"/>
          <w:szCs w:val="24"/>
          <w:u w:val="none"/>
          <w:lang w:val="es-CR"/>
        </w:rPr>
      </w:pPr>
      <w:r w:rsidRPr="00F666EA">
        <w:rPr>
          <w:rFonts w:eastAsia="Times New Roman"/>
          <w:i w:val="0"/>
          <w:iCs w:val="0"/>
          <w:sz w:val="24"/>
          <w:szCs w:val="24"/>
          <w:u w:val="none"/>
          <w:shd w:val="clear" w:color="auto" w:fill="auto"/>
        </w:rPr>
        <w:t>Secretaría General de la Cort</w:t>
      </w:r>
      <w:r w:rsidR="00A93390" w:rsidRPr="00F666EA">
        <w:rPr>
          <w:rFonts w:eastAsia="Times New Roman"/>
          <w:i w:val="0"/>
          <w:iCs w:val="0"/>
          <w:sz w:val="24"/>
          <w:szCs w:val="24"/>
          <w:u w:val="none"/>
          <w:shd w:val="clear" w:color="auto" w:fill="auto"/>
        </w:rPr>
        <w:t>e</w:t>
      </w:r>
    </w:p>
    <w:p w14:paraId="4158140E" w14:textId="77777777" w:rsidR="009033DA" w:rsidRPr="00F666EA" w:rsidRDefault="00477DCD" w:rsidP="00321278">
      <w:pPr>
        <w:pStyle w:val="Ttulo51"/>
        <w:keepNext w:val="0"/>
        <w:tabs>
          <w:tab w:val="clear" w:pos="0"/>
        </w:tabs>
        <w:jc w:val="both"/>
        <w:rPr>
          <w:rFonts w:eastAsia="Times New Roman"/>
          <w:i w:val="0"/>
          <w:iCs w:val="0"/>
          <w:sz w:val="24"/>
          <w:szCs w:val="24"/>
          <w:u w:val="none"/>
          <w:shd w:val="clear" w:color="auto" w:fill="auto"/>
          <w:lang w:val="es-CR"/>
        </w:rPr>
      </w:pPr>
      <w:r w:rsidRPr="00F666EA">
        <w:rPr>
          <w:rFonts w:eastAsia="Times New Roman"/>
          <w:i w:val="0"/>
          <w:iCs w:val="0"/>
          <w:sz w:val="24"/>
          <w:szCs w:val="24"/>
          <w:u w:val="none"/>
          <w:shd w:val="clear" w:color="auto" w:fill="auto"/>
          <w:lang w:val="es-CR"/>
        </w:rPr>
        <w:t xml:space="preserve"> </w:t>
      </w:r>
    </w:p>
    <w:p w14:paraId="718A6FED" w14:textId="010AB680" w:rsidR="00721AEE" w:rsidRPr="00321278" w:rsidRDefault="003F65EE" w:rsidP="00F666EA">
      <w:pPr>
        <w:jc w:val="both"/>
        <w:rPr>
          <w:sz w:val="22"/>
          <w:szCs w:val="22"/>
        </w:rPr>
      </w:pPr>
      <w:proofErr w:type="spellStart"/>
      <w:r w:rsidRPr="00321278">
        <w:rPr>
          <w:sz w:val="22"/>
          <w:szCs w:val="22"/>
        </w:rPr>
        <w:t>C</w:t>
      </w:r>
      <w:r w:rsidR="00B46B14" w:rsidRPr="00321278">
        <w:rPr>
          <w:sz w:val="22"/>
          <w:szCs w:val="22"/>
        </w:rPr>
        <w:t>c</w:t>
      </w:r>
      <w:proofErr w:type="spellEnd"/>
      <w:r w:rsidR="0029216A" w:rsidRPr="00321278">
        <w:rPr>
          <w:sz w:val="22"/>
          <w:szCs w:val="22"/>
        </w:rPr>
        <w:t>:</w:t>
      </w:r>
    </w:p>
    <w:p w14:paraId="523BAFD6" w14:textId="267E2D63" w:rsidR="00321278" w:rsidRPr="00321278" w:rsidRDefault="00321278" w:rsidP="00F666EA">
      <w:pPr>
        <w:jc w:val="both"/>
        <w:rPr>
          <w:sz w:val="22"/>
          <w:szCs w:val="22"/>
        </w:rPr>
      </w:pPr>
      <w:r w:rsidRPr="00321278">
        <w:rPr>
          <w:sz w:val="22"/>
          <w:szCs w:val="22"/>
        </w:rPr>
        <w:t>Dirección de Gestión Humana</w:t>
      </w:r>
    </w:p>
    <w:p w14:paraId="1307FB68" w14:textId="281895E8" w:rsidR="000069C7" w:rsidRPr="00321278" w:rsidRDefault="000069C7" w:rsidP="00F666EA">
      <w:pPr>
        <w:jc w:val="both"/>
        <w:rPr>
          <w:sz w:val="22"/>
          <w:szCs w:val="22"/>
        </w:rPr>
      </w:pPr>
      <w:r w:rsidRPr="00321278">
        <w:rPr>
          <w:sz w:val="22"/>
          <w:szCs w:val="22"/>
        </w:rPr>
        <w:t>Auditoria Judicial</w:t>
      </w:r>
    </w:p>
    <w:p w14:paraId="67312262" w14:textId="31AEF7B5" w:rsidR="0029216A" w:rsidRPr="00321278" w:rsidRDefault="0029216A" w:rsidP="00F666EA">
      <w:pPr>
        <w:jc w:val="both"/>
        <w:rPr>
          <w:b/>
          <w:bCs/>
          <w:sz w:val="22"/>
          <w:szCs w:val="22"/>
        </w:rPr>
      </w:pPr>
      <w:r w:rsidRPr="00321278">
        <w:rPr>
          <w:sz w:val="22"/>
          <w:szCs w:val="22"/>
        </w:rPr>
        <w:t xml:space="preserve">Diligencias / </w:t>
      </w:r>
      <w:proofErr w:type="spellStart"/>
      <w:r w:rsidRPr="00321278">
        <w:rPr>
          <w:b/>
          <w:bCs/>
          <w:sz w:val="22"/>
          <w:szCs w:val="22"/>
        </w:rPr>
        <w:t>Refs</w:t>
      </w:r>
      <w:proofErr w:type="spellEnd"/>
      <w:r w:rsidRPr="00321278">
        <w:rPr>
          <w:b/>
          <w:bCs/>
          <w:sz w:val="22"/>
          <w:szCs w:val="22"/>
        </w:rPr>
        <w:t>: (</w:t>
      </w:r>
      <w:r w:rsidR="00321278" w:rsidRPr="00321278">
        <w:rPr>
          <w:b/>
          <w:bCs/>
          <w:sz w:val="22"/>
          <w:szCs w:val="22"/>
        </w:rPr>
        <w:t>4842-2023</w:t>
      </w:r>
      <w:r w:rsidRPr="00321278">
        <w:rPr>
          <w:b/>
          <w:bCs/>
          <w:sz w:val="22"/>
          <w:szCs w:val="22"/>
        </w:rPr>
        <w:t xml:space="preserve">) </w:t>
      </w:r>
    </w:p>
    <w:p w14:paraId="34DFEF30" w14:textId="63DBF668" w:rsidR="009F45D2" w:rsidRPr="00321278" w:rsidRDefault="00E24B60" w:rsidP="00F666EA">
      <w:pPr>
        <w:jc w:val="both"/>
        <w:rPr>
          <w:b/>
          <w:sz w:val="20"/>
          <w:szCs w:val="20"/>
          <w:shd w:val="clear" w:color="auto" w:fill="FFFFFF"/>
          <w:lang w:val="es-ES_tradnl"/>
        </w:rPr>
      </w:pPr>
      <w:r w:rsidRPr="00321278">
        <w:rPr>
          <w:bCs/>
          <w:i/>
          <w:iCs/>
          <w:sz w:val="20"/>
          <w:szCs w:val="20"/>
          <w:shd w:val="clear" w:color="auto" w:fill="FFFFFF"/>
          <w:lang w:val="es-ES_tradnl"/>
        </w:rPr>
        <w:t>mlopeze</w:t>
      </w:r>
    </w:p>
    <w:sectPr w:rsidR="009F45D2" w:rsidRPr="00321278" w:rsidSect="009114C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410"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F4E1" w14:textId="77777777" w:rsidR="00B755AE" w:rsidRDefault="00B755AE">
      <w:r>
        <w:separator/>
      </w:r>
    </w:p>
  </w:endnote>
  <w:endnote w:type="continuationSeparator" w:id="0">
    <w:p w14:paraId="0F410B82" w14:textId="77777777" w:rsidR="00B755AE" w:rsidRDefault="00B7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charset w:val="00"/>
    <w:family w:val="auto"/>
    <w:pitch w:val="default"/>
    <w:sig w:usb0="00000003" w:usb1="08070000" w:usb2="00000010" w:usb3="00000000" w:csb0="0002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24280D7A"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660FFC">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6756" w14:textId="77777777" w:rsidR="00B755AE" w:rsidRDefault="00B755AE">
      <w:r>
        <w:separator/>
      </w:r>
    </w:p>
  </w:footnote>
  <w:footnote w:type="continuationSeparator" w:id="0">
    <w:p w14:paraId="6E96B842" w14:textId="77777777" w:rsidR="00B755AE" w:rsidRDefault="00B7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303B2F0F" w:rsidR="00186ADE" w:rsidRDefault="00F976A7">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5D416136">
              <wp:simplePos x="0" y="0"/>
              <wp:positionH relativeFrom="column">
                <wp:posOffset>0</wp:posOffset>
              </wp:positionH>
              <wp:positionV relativeFrom="paragraph">
                <wp:posOffset>-358140</wp:posOffset>
              </wp:positionV>
              <wp:extent cx="615315" cy="662940"/>
              <wp:effectExtent l="0" t="3810" r="0" b="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104B6"/>
    <w:multiLevelType w:val="hybridMultilevel"/>
    <w:tmpl w:val="1F044DA0"/>
    <w:lvl w:ilvl="0" w:tplc="667E67C6">
      <w:start w:val="1"/>
      <w:numFmt w:val="decimal"/>
      <w:lvlText w:val="%1."/>
      <w:lvlJc w:val="left"/>
      <w:pPr>
        <w:ind w:left="720" w:hanging="360"/>
      </w:pPr>
      <w:rPr>
        <w:rFonts w:hint="default"/>
        <w:b/>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73C3F"/>
    <w:multiLevelType w:val="hybridMultilevel"/>
    <w:tmpl w:val="8D324936"/>
    <w:lvl w:ilvl="0" w:tplc="346ECBD0">
      <w:start w:val="7"/>
      <w:numFmt w:val="bullet"/>
      <w:lvlText w:val="-"/>
      <w:lvlJc w:val="left"/>
      <w:pPr>
        <w:ind w:left="720" w:hanging="360"/>
      </w:pPr>
      <w:rPr>
        <w:rFonts w:ascii="Calibri" w:eastAsia="Times New Roman" w:hAnsi="Calibri" w:cs="Calibri"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6"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7"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8" w15:restartNumberingAfterBreak="0">
    <w:nsid w:val="5E5B04D3"/>
    <w:multiLevelType w:val="hybridMultilevel"/>
    <w:tmpl w:val="8176EBD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5464273">
    <w:abstractNumId w:val="2"/>
  </w:num>
  <w:num w:numId="2" w16cid:durableId="2020888236">
    <w:abstractNumId w:val="12"/>
  </w:num>
  <w:num w:numId="3" w16cid:durableId="1521049534">
    <w:abstractNumId w:val="6"/>
  </w:num>
  <w:num w:numId="4" w16cid:durableId="482549522">
    <w:abstractNumId w:val="19"/>
  </w:num>
  <w:num w:numId="5" w16cid:durableId="132648131">
    <w:abstractNumId w:val="1"/>
  </w:num>
  <w:num w:numId="6" w16cid:durableId="1670400164">
    <w:abstractNumId w:val="13"/>
  </w:num>
  <w:num w:numId="7" w16cid:durableId="806316832">
    <w:abstractNumId w:val="0"/>
  </w:num>
  <w:num w:numId="8" w16cid:durableId="1288466461">
    <w:abstractNumId w:val="10"/>
  </w:num>
  <w:num w:numId="9" w16cid:durableId="425922931">
    <w:abstractNumId w:val="11"/>
  </w:num>
  <w:num w:numId="10" w16cid:durableId="659385827">
    <w:abstractNumId w:val="18"/>
  </w:num>
  <w:num w:numId="11" w16cid:durableId="151495597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69C7"/>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1CB8"/>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3CA2"/>
    <w:rsid w:val="000F533D"/>
    <w:rsid w:val="000F5F15"/>
    <w:rsid w:val="000F64A2"/>
    <w:rsid w:val="0010072B"/>
    <w:rsid w:val="001009D6"/>
    <w:rsid w:val="001019B6"/>
    <w:rsid w:val="00102490"/>
    <w:rsid w:val="001032FE"/>
    <w:rsid w:val="001035B8"/>
    <w:rsid w:val="0010591B"/>
    <w:rsid w:val="00110896"/>
    <w:rsid w:val="0011398B"/>
    <w:rsid w:val="0011737B"/>
    <w:rsid w:val="00117E2F"/>
    <w:rsid w:val="001211BA"/>
    <w:rsid w:val="0012123C"/>
    <w:rsid w:val="00121DE3"/>
    <w:rsid w:val="00122371"/>
    <w:rsid w:val="00127480"/>
    <w:rsid w:val="00130249"/>
    <w:rsid w:val="00135747"/>
    <w:rsid w:val="00136432"/>
    <w:rsid w:val="00136BD4"/>
    <w:rsid w:val="001375DE"/>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34EC"/>
    <w:rsid w:val="001A43FE"/>
    <w:rsid w:val="001A63E0"/>
    <w:rsid w:val="001A6DCB"/>
    <w:rsid w:val="001B577D"/>
    <w:rsid w:val="001B7697"/>
    <w:rsid w:val="001C0C6E"/>
    <w:rsid w:val="001C25C1"/>
    <w:rsid w:val="001C2813"/>
    <w:rsid w:val="001C3300"/>
    <w:rsid w:val="001C348B"/>
    <w:rsid w:val="001C3D6F"/>
    <w:rsid w:val="001D4E31"/>
    <w:rsid w:val="001D4F0C"/>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16EDB"/>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67C4C"/>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797"/>
    <w:rsid w:val="002E7CB8"/>
    <w:rsid w:val="002F0FC1"/>
    <w:rsid w:val="002F5A60"/>
    <w:rsid w:val="002F7286"/>
    <w:rsid w:val="002F7F5B"/>
    <w:rsid w:val="003011FF"/>
    <w:rsid w:val="0030278D"/>
    <w:rsid w:val="003031F3"/>
    <w:rsid w:val="003032E0"/>
    <w:rsid w:val="00303342"/>
    <w:rsid w:val="00304A96"/>
    <w:rsid w:val="00304B27"/>
    <w:rsid w:val="0030761A"/>
    <w:rsid w:val="00312F5D"/>
    <w:rsid w:val="00313956"/>
    <w:rsid w:val="00315E14"/>
    <w:rsid w:val="00316EAA"/>
    <w:rsid w:val="00317980"/>
    <w:rsid w:val="00320860"/>
    <w:rsid w:val="00321278"/>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61E"/>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0C14"/>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3C9"/>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A709D"/>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3AB3"/>
    <w:rsid w:val="00526690"/>
    <w:rsid w:val="00526774"/>
    <w:rsid w:val="00530912"/>
    <w:rsid w:val="00531838"/>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34D6"/>
    <w:rsid w:val="005750BD"/>
    <w:rsid w:val="0057579F"/>
    <w:rsid w:val="00575DC8"/>
    <w:rsid w:val="005826E2"/>
    <w:rsid w:val="00582DEA"/>
    <w:rsid w:val="00583423"/>
    <w:rsid w:val="005850CB"/>
    <w:rsid w:val="005854FE"/>
    <w:rsid w:val="005858DF"/>
    <w:rsid w:val="0059249B"/>
    <w:rsid w:val="005969C6"/>
    <w:rsid w:val="00597480"/>
    <w:rsid w:val="005A0079"/>
    <w:rsid w:val="005A0EFF"/>
    <w:rsid w:val="005A70CB"/>
    <w:rsid w:val="005B0A34"/>
    <w:rsid w:val="005B20CC"/>
    <w:rsid w:val="005B2EF0"/>
    <w:rsid w:val="005B4256"/>
    <w:rsid w:val="005B4433"/>
    <w:rsid w:val="005B4BE5"/>
    <w:rsid w:val="005B4C2B"/>
    <w:rsid w:val="005B5825"/>
    <w:rsid w:val="005B773F"/>
    <w:rsid w:val="005B7E88"/>
    <w:rsid w:val="005C1EAA"/>
    <w:rsid w:val="005C2A23"/>
    <w:rsid w:val="005C2E66"/>
    <w:rsid w:val="005C7BBC"/>
    <w:rsid w:val="005D04F5"/>
    <w:rsid w:val="005D2042"/>
    <w:rsid w:val="005D34D0"/>
    <w:rsid w:val="005D4EB3"/>
    <w:rsid w:val="005D6F70"/>
    <w:rsid w:val="005E01F2"/>
    <w:rsid w:val="005E0CBA"/>
    <w:rsid w:val="005E1A9D"/>
    <w:rsid w:val="005E2FAC"/>
    <w:rsid w:val="005F1E58"/>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0FFC"/>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18C"/>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E5"/>
    <w:rsid w:val="00721AEE"/>
    <w:rsid w:val="00722756"/>
    <w:rsid w:val="00723545"/>
    <w:rsid w:val="00725E31"/>
    <w:rsid w:val="00732F11"/>
    <w:rsid w:val="007331DC"/>
    <w:rsid w:val="00733254"/>
    <w:rsid w:val="00735606"/>
    <w:rsid w:val="00735891"/>
    <w:rsid w:val="007410C4"/>
    <w:rsid w:val="00741726"/>
    <w:rsid w:val="00743436"/>
    <w:rsid w:val="00746B73"/>
    <w:rsid w:val="00746FCB"/>
    <w:rsid w:val="00751CA6"/>
    <w:rsid w:val="0076006E"/>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405F"/>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3826"/>
    <w:rsid w:val="008D5C57"/>
    <w:rsid w:val="008D627B"/>
    <w:rsid w:val="008D70A5"/>
    <w:rsid w:val="008D7663"/>
    <w:rsid w:val="008E2EA3"/>
    <w:rsid w:val="008E3561"/>
    <w:rsid w:val="008E54B8"/>
    <w:rsid w:val="008E5561"/>
    <w:rsid w:val="008E6B09"/>
    <w:rsid w:val="008E763A"/>
    <w:rsid w:val="008F1384"/>
    <w:rsid w:val="008F24EB"/>
    <w:rsid w:val="008F2E44"/>
    <w:rsid w:val="008F3B80"/>
    <w:rsid w:val="008F7BD8"/>
    <w:rsid w:val="00901BAD"/>
    <w:rsid w:val="00901F61"/>
    <w:rsid w:val="009033DA"/>
    <w:rsid w:val="0091084F"/>
    <w:rsid w:val="00910D0C"/>
    <w:rsid w:val="009114C0"/>
    <w:rsid w:val="00912119"/>
    <w:rsid w:val="00916994"/>
    <w:rsid w:val="00920158"/>
    <w:rsid w:val="00926ED0"/>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6FF4"/>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687"/>
    <w:rsid w:val="00A74E52"/>
    <w:rsid w:val="00A75478"/>
    <w:rsid w:val="00A812E2"/>
    <w:rsid w:val="00A815D2"/>
    <w:rsid w:val="00A81A13"/>
    <w:rsid w:val="00A852CB"/>
    <w:rsid w:val="00A91464"/>
    <w:rsid w:val="00A93390"/>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B"/>
    <w:rsid w:val="00AF4146"/>
    <w:rsid w:val="00AF61B2"/>
    <w:rsid w:val="00AF6858"/>
    <w:rsid w:val="00B00C4C"/>
    <w:rsid w:val="00B02A20"/>
    <w:rsid w:val="00B05129"/>
    <w:rsid w:val="00B054D8"/>
    <w:rsid w:val="00B059F8"/>
    <w:rsid w:val="00B06B4B"/>
    <w:rsid w:val="00B10126"/>
    <w:rsid w:val="00B10347"/>
    <w:rsid w:val="00B1391F"/>
    <w:rsid w:val="00B14F39"/>
    <w:rsid w:val="00B15412"/>
    <w:rsid w:val="00B154FE"/>
    <w:rsid w:val="00B252BF"/>
    <w:rsid w:val="00B2587A"/>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55AE"/>
    <w:rsid w:val="00B76DE0"/>
    <w:rsid w:val="00B8144F"/>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BF75F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4B60"/>
    <w:rsid w:val="00E25736"/>
    <w:rsid w:val="00E26327"/>
    <w:rsid w:val="00E302CF"/>
    <w:rsid w:val="00E321B4"/>
    <w:rsid w:val="00E33030"/>
    <w:rsid w:val="00E34CFC"/>
    <w:rsid w:val="00E41045"/>
    <w:rsid w:val="00E41F6B"/>
    <w:rsid w:val="00E43DF6"/>
    <w:rsid w:val="00E466FF"/>
    <w:rsid w:val="00E510B5"/>
    <w:rsid w:val="00E51150"/>
    <w:rsid w:val="00E5273B"/>
    <w:rsid w:val="00E52A9A"/>
    <w:rsid w:val="00E53A07"/>
    <w:rsid w:val="00E55B7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3E70"/>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666EA"/>
    <w:rsid w:val="00F70FDC"/>
    <w:rsid w:val="00F718AA"/>
    <w:rsid w:val="00F721FF"/>
    <w:rsid w:val="00F7603A"/>
    <w:rsid w:val="00F8043F"/>
    <w:rsid w:val="00F86F59"/>
    <w:rsid w:val="00F90023"/>
    <w:rsid w:val="00F91BFB"/>
    <w:rsid w:val="00F91D55"/>
    <w:rsid w:val="00F92764"/>
    <w:rsid w:val="00F92909"/>
    <w:rsid w:val="00F95C56"/>
    <w:rsid w:val="00F96207"/>
    <w:rsid w:val="00F976A7"/>
    <w:rsid w:val="00FA2A7F"/>
    <w:rsid w:val="00FA3CD5"/>
    <w:rsid w:val="00FA5667"/>
    <w:rsid w:val="00FA69D6"/>
    <w:rsid w:val="00FA7048"/>
    <w:rsid w:val="00FA77B0"/>
    <w:rsid w:val="00FB056B"/>
    <w:rsid w:val="00FB6C7E"/>
    <w:rsid w:val="00FB7B43"/>
    <w:rsid w:val="00FC1FFB"/>
    <w:rsid w:val="00FC5439"/>
    <w:rsid w:val="00FC64A9"/>
    <w:rsid w:val="00FD3058"/>
    <w:rsid w:val="00FD32B4"/>
    <w:rsid w:val="00FD6C8D"/>
    <w:rsid w:val="00FD6EC7"/>
    <w:rsid w:val="00FE1908"/>
    <w:rsid w:val="00FE24B0"/>
    <w:rsid w:val="00FE5B83"/>
    <w:rsid w:val="00FF2C38"/>
    <w:rsid w:val="00FF397D"/>
    <w:rsid w:val="00FF4A54"/>
    <w:rsid w:val="00FF5C28"/>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375DE"/>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0069C7"/>
    <w:pPr>
      <w:suppressAutoHyphens w:val="0"/>
      <w:spacing w:before="100" w:beforeAutospacing="1" w:after="100" w:afterAutospacing="1"/>
    </w:pPr>
    <w:rPr>
      <w:rFonts w:eastAsia="Calibri"/>
      <w:lang w:val="es-CR" w:eastAsia="es-CR"/>
    </w:rPr>
  </w:style>
  <w:style w:type="character" w:customStyle="1" w:styleId="normaltextrun">
    <w:name w:val="normaltextrun"/>
    <w:basedOn w:val="Fuentedeprrafopredeter"/>
    <w:rsid w:val="000069C7"/>
  </w:style>
  <w:style w:type="character" w:customStyle="1" w:styleId="eop">
    <w:name w:val="eop"/>
    <w:basedOn w:val="Fuentedeprrafopredeter"/>
    <w:rsid w:val="0000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3055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-María de los Ángeles López Espinoza</cp:lastModifiedBy>
  <cp:revision>3</cp:revision>
  <cp:lastPrinted>2016-02-03T19:46:00Z</cp:lastPrinted>
  <dcterms:created xsi:type="dcterms:W3CDTF">2023-05-29T14:37:00Z</dcterms:created>
  <dcterms:modified xsi:type="dcterms:W3CDTF">2023-05-29T14:38:00Z</dcterms:modified>
</cp:coreProperties>
</file>